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74DF" w14:textId="77777777" w:rsidR="001B456E" w:rsidRPr="001B456E" w:rsidRDefault="001B456E" w:rsidP="00242DCD">
      <w:pPr>
        <w:pStyle w:val="Normal0"/>
        <w:rPr>
          <w:b/>
          <w:bCs/>
          <w:u w:val="single"/>
        </w:rPr>
      </w:pPr>
    </w:p>
    <w:p w14:paraId="6B15D3CC" w14:textId="77777777" w:rsidR="001B456E" w:rsidRPr="001B456E" w:rsidRDefault="001B456E" w:rsidP="001B456E">
      <w:pPr>
        <w:pStyle w:val="HdgCenterBold-Und"/>
        <w:rPr>
          <w:sz w:val="22"/>
        </w:rPr>
      </w:pPr>
      <w:r w:rsidRPr="001B456E">
        <w:t xml:space="preserve">Cases To Be Addressed </w:t>
      </w:r>
      <w:proofErr w:type="gramStart"/>
      <w:r w:rsidRPr="001B456E">
        <w:t>At</w:t>
      </w:r>
      <w:proofErr w:type="gramEnd"/>
      <w:r w:rsidRPr="001B456E">
        <w:t xml:space="preserve"> March 8, 2023 ABTL CLE Program</w:t>
      </w:r>
    </w:p>
    <w:p w14:paraId="1A381413" w14:textId="77777777" w:rsidR="001B456E" w:rsidRPr="001B456E" w:rsidRDefault="001B456E" w:rsidP="00242DCD">
      <w:pPr>
        <w:pStyle w:val="Normal0"/>
        <w:rPr>
          <w:b/>
          <w:bCs/>
          <w:u w:val="single"/>
        </w:rPr>
      </w:pPr>
    </w:p>
    <w:p w14:paraId="080C99D9" w14:textId="77777777" w:rsidR="001B456E" w:rsidRPr="001B456E" w:rsidRDefault="001B456E" w:rsidP="00242DCD">
      <w:pPr>
        <w:pStyle w:val="Normal0"/>
        <w:rPr>
          <w:b/>
          <w:bCs/>
          <w:u w:val="single"/>
        </w:rPr>
      </w:pPr>
    </w:p>
    <w:p w14:paraId="35A25343" w14:textId="018C8D12" w:rsidR="00242DCD" w:rsidRPr="001B456E" w:rsidRDefault="00242DCD" w:rsidP="00242DCD">
      <w:pPr>
        <w:pStyle w:val="Normal0"/>
        <w:rPr>
          <w:b/>
          <w:bCs/>
          <w:u w:val="single"/>
        </w:rPr>
      </w:pPr>
      <w:r w:rsidRPr="001B456E">
        <w:rPr>
          <w:b/>
          <w:bCs/>
          <w:u w:val="single"/>
        </w:rPr>
        <w:t>Affirmative Action</w:t>
      </w:r>
    </w:p>
    <w:p w14:paraId="2F60F141" w14:textId="77777777" w:rsidR="00242DCD" w:rsidRPr="001B456E" w:rsidRDefault="00242DCD" w:rsidP="00242DCD">
      <w:pPr>
        <w:pStyle w:val="Normal0"/>
      </w:pPr>
    </w:p>
    <w:p w14:paraId="35142221" w14:textId="77777777" w:rsidR="00242DCD" w:rsidRPr="001B456E" w:rsidRDefault="00242DCD" w:rsidP="00242DCD">
      <w:pPr>
        <w:pStyle w:val="Normal0"/>
        <w:rPr>
          <w:b/>
          <w:bCs/>
        </w:rPr>
      </w:pPr>
      <w:r w:rsidRPr="001B456E">
        <w:rPr>
          <w:b/>
          <w:bCs/>
          <w:i/>
          <w:iCs/>
        </w:rPr>
        <w:t xml:space="preserve">Students for Fair Admissions v. Harvard  </w:t>
      </w:r>
      <w:r w:rsidRPr="001B456E">
        <w:rPr>
          <w:rFonts w:eastAsiaTheme="minorHAnsi"/>
          <w:b/>
          <w:bCs/>
          <w:color w:val="222222"/>
          <w:sz w:val="18"/>
          <w:szCs w:val="18"/>
          <w:shd w:val="clear" w:color="auto" w:fill="F8F8F8"/>
        </w:rPr>
        <w:t xml:space="preserve"> </w:t>
      </w:r>
      <w:r w:rsidRPr="001B456E">
        <w:t>20-1199</w:t>
      </w:r>
    </w:p>
    <w:p w14:paraId="606E2BD2" w14:textId="77777777" w:rsidR="00242DCD" w:rsidRPr="001B456E" w:rsidRDefault="00242DCD" w:rsidP="00242DCD">
      <w:pPr>
        <w:pStyle w:val="Normal0"/>
      </w:pPr>
      <w:r w:rsidRPr="001B456E">
        <w:rPr>
          <w:b/>
          <w:bCs/>
          <w:i/>
          <w:iCs/>
        </w:rPr>
        <w:t xml:space="preserve">Students for Fair Admissions v. University of North </w:t>
      </w:r>
      <w:proofErr w:type="gramStart"/>
      <w:r w:rsidRPr="001B456E">
        <w:rPr>
          <w:b/>
          <w:bCs/>
          <w:i/>
          <w:iCs/>
        </w:rPr>
        <w:t>Carolina</w:t>
      </w:r>
      <w:r w:rsidRPr="001B456E">
        <w:rPr>
          <w:i/>
          <w:iCs/>
        </w:rPr>
        <w:t xml:space="preserve"> </w:t>
      </w:r>
      <w:r w:rsidRPr="001B456E">
        <w:t xml:space="preserve"> 21</w:t>
      </w:r>
      <w:proofErr w:type="gramEnd"/>
      <w:r w:rsidRPr="001B456E">
        <w:t>-707</w:t>
      </w:r>
    </w:p>
    <w:p w14:paraId="78A819AA" w14:textId="510F755A" w:rsidR="00242DCD" w:rsidRPr="001B456E" w:rsidRDefault="00242DCD" w:rsidP="00D661AE">
      <w:pPr>
        <w:pStyle w:val="Normal0"/>
      </w:pPr>
      <w:r w:rsidRPr="001B456E">
        <w:rPr>
          <w:rFonts w:eastAsia="Times New Roman"/>
          <w:szCs w:val="24"/>
        </w:rPr>
        <w:t>Students for Fair Admissions (SFFA) sued Harvard and the University of North Carolina (UNC) over their admissions p</w:t>
      </w:r>
      <w:r w:rsidR="001F4A98" w:rsidRPr="001B456E">
        <w:rPr>
          <w:rFonts w:eastAsia="Times New Roman"/>
          <w:szCs w:val="24"/>
        </w:rPr>
        <w:t>olicies</w:t>
      </w:r>
      <w:r w:rsidRPr="001B456E">
        <w:rPr>
          <w:rFonts w:eastAsia="Times New Roman"/>
          <w:szCs w:val="24"/>
        </w:rPr>
        <w:t xml:space="preserve">, alleging that they violate the Fourteenth Amendment and/or Title VI of the Civil Rights Act of 1964 by using race as a factor.  Both universities admit they use race as one of many factors in considering student </w:t>
      </w:r>
      <w:r w:rsidR="001F4A98" w:rsidRPr="001B456E">
        <w:rPr>
          <w:rFonts w:eastAsia="Times New Roman"/>
          <w:szCs w:val="24"/>
        </w:rPr>
        <w:t xml:space="preserve">applications </w:t>
      </w:r>
      <w:r w:rsidRPr="001B456E">
        <w:rPr>
          <w:rFonts w:eastAsia="Times New Roman"/>
          <w:szCs w:val="24"/>
        </w:rPr>
        <w:t xml:space="preserve">but argue that their processes adhere to the requirements </w:t>
      </w:r>
      <w:r w:rsidR="0099421C" w:rsidRPr="001B456E">
        <w:rPr>
          <w:rFonts w:eastAsia="Times New Roman"/>
          <w:szCs w:val="24"/>
        </w:rPr>
        <w:t xml:space="preserve">of </w:t>
      </w:r>
      <w:r w:rsidRPr="001B456E">
        <w:rPr>
          <w:rFonts w:eastAsia="Times New Roman"/>
          <w:szCs w:val="24"/>
        </w:rPr>
        <w:t xml:space="preserve">Supreme Court precedents such as </w:t>
      </w:r>
      <w:r w:rsidRPr="001B456E">
        <w:rPr>
          <w:rFonts w:eastAsia="Times New Roman"/>
          <w:i/>
          <w:iCs/>
          <w:szCs w:val="24"/>
        </w:rPr>
        <w:t>Grutter v. Bollinger</w:t>
      </w:r>
      <w:r w:rsidRPr="001B456E">
        <w:rPr>
          <w:rFonts w:eastAsia="Times New Roman"/>
          <w:szCs w:val="24"/>
        </w:rPr>
        <w:t xml:space="preserve">, which upheld the narrowly tailored use of race in admissions to further a compelling interest in the educational benefits that flow from a diverse student body.  Both district courts ruled that the Universities’ admissions policies survived strict scrutiny and were consistent with </w:t>
      </w:r>
      <w:r w:rsidRPr="001B456E">
        <w:rPr>
          <w:rFonts w:eastAsia="Times New Roman"/>
          <w:i/>
          <w:iCs/>
          <w:szCs w:val="24"/>
        </w:rPr>
        <w:t>Grutter v. Bollinger</w:t>
      </w:r>
      <w:r w:rsidRPr="001B456E">
        <w:rPr>
          <w:rFonts w:eastAsia="Times New Roman"/>
          <w:szCs w:val="24"/>
        </w:rPr>
        <w:t>.  In the Harvard case, SFFA appealed, and the U.S. Court of Appeals for the First Circuit affirmed.  In the UNC case, SFFA appealed, and the Fourth Circuit agreed to hold the case in abeyance after the U.S. Supreme Court granted review.</w:t>
      </w:r>
      <w:r w:rsidRPr="001B456E">
        <w:t xml:space="preserve">  </w:t>
      </w:r>
      <w:r w:rsidRPr="001B456E">
        <w:rPr>
          <w:b/>
          <w:bCs/>
        </w:rPr>
        <w:t>Questions</w:t>
      </w:r>
      <w:r w:rsidRPr="001B456E">
        <w:t>:  May institutions of higher education use race as a factor in admissions?  If so, do Harvard’s and UNC’s policies comply with the Constitution and/or</w:t>
      </w:r>
      <w:r w:rsidRPr="001B456E">
        <w:rPr>
          <w:rFonts w:eastAsiaTheme="minorHAnsi"/>
          <w:szCs w:val="22"/>
        </w:rPr>
        <w:t xml:space="preserve"> </w:t>
      </w:r>
      <w:r w:rsidRPr="001B456E">
        <w:t>Title VI?</w:t>
      </w:r>
    </w:p>
    <w:p w14:paraId="28F7631F" w14:textId="77777777" w:rsidR="00242DCD" w:rsidRPr="001B456E" w:rsidRDefault="00242DCD" w:rsidP="00D661AE">
      <w:pPr>
        <w:pStyle w:val="Normal0"/>
        <w:rPr>
          <w:b/>
          <w:bCs/>
          <w:u w:val="single"/>
        </w:rPr>
      </w:pPr>
    </w:p>
    <w:p w14:paraId="311C48E6" w14:textId="63ED7D93" w:rsidR="00041632" w:rsidRPr="001B456E" w:rsidRDefault="005E4937" w:rsidP="00D661AE">
      <w:pPr>
        <w:pStyle w:val="Normal0"/>
        <w:rPr>
          <w:b/>
          <w:bCs/>
          <w:u w:val="single"/>
        </w:rPr>
      </w:pPr>
      <w:r w:rsidRPr="001B456E">
        <w:rPr>
          <w:b/>
          <w:bCs/>
          <w:u w:val="single"/>
        </w:rPr>
        <w:t>Speech</w:t>
      </w:r>
    </w:p>
    <w:p w14:paraId="2533FCF7" w14:textId="77777777" w:rsidR="00041632" w:rsidRPr="001B456E" w:rsidRDefault="00041632" w:rsidP="00D661AE">
      <w:pPr>
        <w:pStyle w:val="Normal0"/>
        <w:rPr>
          <w:b/>
          <w:bCs/>
          <w:i/>
          <w:iCs/>
        </w:rPr>
      </w:pPr>
    </w:p>
    <w:p w14:paraId="54CFD26F" w14:textId="13514DA4" w:rsidR="00F45027" w:rsidRPr="001B456E" w:rsidRDefault="00BC1C12" w:rsidP="00D661AE">
      <w:pPr>
        <w:pStyle w:val="Normal0"/>
      </w:pPr>
      <w:r w:rsidRPr="001B456E">
        <w:rPr>
          <w:b/>
          <w:bCs/>
          <w:i/>
          <w:iCs/>
        </w:rPr>
        <w:t xml:space="preserve">303 Creative v. </w:t>
      </w:r>
      <w:proofErr w:type="spellStart"/>
      <w:r w:rsidRPr="001B456E">
        <w:rPr>
          <w:b/>
          <w:bCs/>
          <w:i/>
          <w:iCs/>
        </w:rPr>
        <w:t>Elenis</w:t>
      </w:r>
      <w:proofErr w:type="spellEnd"/>
      <w:r w:rsidRPr="001B456E">
        <w:rPr>
          <w:b/>
          <w:bCs/>
        </w:rPr>
        <w:t>,</w:t>
      </w:r>
      <w:r w:rsidRPr="001B456E">
        <w:t xml:space="preserve"> 21-476</w:t>
      </w:r>
    </w:p>
    <w:p w14:paraId="7EEEF893" w14:textId="6F950F37" w:rsidR="00BC1C12" w:rsidRPr="001B456E" w:rsidRDefault="005B6726" w:rsidP="00D661AE">
      <w:pPr>
        <w:pStyle w:val="Normal0"/>
      </w:pPr>
      <w:r w:rsidRPr="001B456E">
        <w:t>Lorie Smith, o</w:t>
      </w:r>
      <w:r w:rsidR="00BC1C12" w:rsidRPr="001B456E">
        <w:t xml:space="preserve">wner of </w:t>
      </w:r>
      <w:r w:rsidRPr="001B456E">
        <w:t xml:space="preserve">a </w:t>
      </w:r>
      <w:r w:rsidR="00BC1C12" w:rsidRPr="001B456E">
        <w:t>graphic design firm</w:t>
      </w:r>
      <w:r w:rsidRPr="001B456E">
        <w:t>,</w:t>
      </w:r>
      <w:r w:rsidR="00BC1C12" w:rsidRPr="001B456E">
        <w:t xml:space="preserve"> seeks to expand her business to include wedding websites, but opposes same-sex marriage on religious grounds</w:t>
      </w:r>
      <w:r w:rsidR="005C30BD" w:rsidRPr="001B456E">
        <w:t>.</w:t>
      </w:r>
      <w:r w:rsidR="00BC1C12" w:rsidRPr="001B456E">
        <w:t xml:space="preserve"> </w:t>
      </w:r>
      <w:r w:rsidR="005C30BD" w:rsidRPr="001B456E">
        <w:t xml:space="preserve">She </w:t>
      </w:r>
      <w:r w:rsidR="00BC1C12" w:rsidRPr="001B456E">
        <w:t xml:space="preserve">wants to state on her website that she will not design </w:t>
      </w:r>
      <w:r w:rsidR="005C30BD" w:rsidRPr="001B456E">
        <w:t>websites for same-sex weddings</w:t>
      </w:r>
      <w:r w:rsidR="00BC1C12" w:rsidRPr="001B456E">
        <w:t>.</w:t>
      </w:r>
      <w:r w:rsidR="005C30BD" w:rsidRPr="001B456E">
        <w:rPr>
          <w:rFonts w:eastAsiaTheme="minorHAnsi"/>
          <w:color w:val="222222"/>
          <w:szCs w:val="22"/>
          <w:shd w:val="clear" w:color="auto" w:fill="F8F8F8"/>
        </w:rPr>
        <w:t xml:space="preserve"> </w:t>
      </w:r>
      <w:r w:rsidR="005C30BD" w:rsidRPr="001B456E">
        <w:t>The Colorado Anti</w:t>
      </w:r>
      <w:r w:rsidR="004F4C6E" w:rsidRPr="001B456E">
        <w:t>-</w:t>
      </w:r>
      <w:r w:rsidR="005C30BD" w:rsidRPr="001B456E">
        <w:t xml:space="preserve">Discrimination Act (“CADA”) prohibits businesses open to the public from discriminating </w:t>
      </w:r>
      <w:proofErr w:type="gramStart"/>
      <w:r w:rsidR="005C30BD" w:rsidRPr="001B456E">
        <w:t>on the basis of</w:t>
      </w:r>
      <w:proofErr w:type="gramEnd"/>
      <w:r w:rsidR="005C30BD" w:rsidRPr="001B456E">
        <w:t xml:space="preserve"> </w:t>
      </w:r>
      <w:r w:rsidR="001F4A98" w:rsidRPr="001B456E">
        <w:t xml:space="preserve">certain </w:t>
      </w:r>
      <w:r w:rsidR="005C30BD" w:rsidRPr="001B456E">
        <w:t>characteristics, including sexual orientation. </w:t>
      </w:r>
      <w:r w:rsidRPr="001B456E">
        <w:t xml:space="preserve">Even before Colorado sought to enforce the law against her, Smith sued, alleging </w:t>
      </w:r>
      <w:r w:rsidR="000A553F" w:rsidRPr="001B456E">
        <w:t xml:space="preserve">various </w:t>
      </w:r>
      <w:r w:rsidRPr="001B456E">
        <w:t xml:space="preserve">constitutional violations. </w:t>
      </w:r>
      <w:r w:rsidR="00B82D49" w:rsidRPr="001B456E">
        <w:t xml:space="preserve"> </w:t>
      </w:r>
      <w:r w:rsidRPr="001B456E">
        <w:t xml:space="preserve">Smith lost in the district </w:t>
      </w:r>
      <w:r w:rsidR="001F4A98" w:rsidRPr="001B456E">
        <w:t xml:space="preserve">court </w:t>
      </w:r>
      <w:r w:rsidRPr="001B456E">
        <w:t>and the Tenth Circuit.  The Supreme Court granted cert only on the speech</w:t>
      </w:r>
      <w:r w:rsidR="004F4C6E" w:rsidRPr="001B456E">
        <w:t xml:space="preserve">, not religion, </w:t>
      </w:r>
      <w:r w:rsidRPr="001B456E">
        <w:t xml:space="preserve">aspect of her First Amendment claim.  </w:t>
      </w:r>
      <w:r w:rsidRPr="001B456E">
        <w:rPr>
          <w:b/>
          <w:bCs/>
        </w:rPr>
        <w:t>Question</w:t>
      </w:r>
      <w:r w:rsidRPr="001B456E">
        <w:t xml:space="preserve">:  Does application of </w:t>
      </w:r>
      <w:r w:rsidR="00B82D49" w:rsidRPr="001B456E">
        <w:t>CADA</w:t>
      </w:r>
      <w:r w:rsidRPr="001B456E">
        <w:t xml:space="preserve"> to compel an artist to speak or stay silent violate the Free Speech Clause? </w:t>
      </w:r>
    </w:p>
    <w:p w14:paraId="2E13CDB8" w14:textId="48C7CFF4" w:rsidR="005E4937" w:rsidRPr="001B456E" w:rsidRDefault="005E4937" w:rsidP="00D661AE">
      <w:pPr>
        <w:pStyle w:val="Normal0"/>
      </w:pPr>
    </w:p>
    <w:p w14:paraId="3481A1C0" w14:textId="7945E779" w:rsidR="005E4937" w:rsidRPr="001B456E" w:rsidRDefault="005E4937" w:rsidP="00D661AE">
      <w:pPr>
        <w:pStyle w:val="Normal0"/>
        <w:rPr>
          <w:b/>
          <w:bCs/>
          <w:u w:val="single"/>
        </w:rPr>
      </w:pPr>
      <w:r w:rsidRPr="001B456E">
        <w:rPr>
          <w:b/>
          <w:bCs/>
          <w:u w:val="single"/>
        </w:rPr>
        <w:t>Religion</w:t>
      </w:r>
    </w:p>
    <w:p w14:paraId="22C35A19" w14:textId="3B64400F" w:rsidR="00885AB7" w:rsidRPr="001B456E" w:rsidRDefault="00885AB7" w:rsidP="00D661AE">
      <w:pPr>
        <w:pStyle w:val="Normal0"/>
      </w:pPr>
    </w:p>
    <w:p w14:paraId="0FFA4429" w14:textId="2781B9FA" w:rsidR="00885AB7" w:rsidRPr="001B456E" w:rsidRDefault="00885AB7" w:rsidP="00D661AE">
      <w:pPr>
        <w:pStyle w:val="Normal0"/>
      </w:pPr>
      <w:r w:rsidRPr="001B456E">
        <w:rPr>
          <w:b/>
          <w:bCs/>
          <w:i/>
          <w:iCs/>
        </w:rPr>
        <w:t xml:space="preserve">Groff v. </w:t>
      </w:r>
      <w:proofErr w:type="spellStart"/>
      <w:r w:rsidRPr="001B456E">
        <w:rPr>
          <w:b/>
          <w:bCs/>
          <w:i/>
          <w:iCs/>
        </w:rPr>
        <w:t>DeJoy</w:t>
      </w:r>
      <w:proofErr w:type="spellEnd"/>
      <w:r w:rsidRPr="001B456E">
        <w:t>, 22-174</w:t>
      </w:r>
    </w:p>
    <w:p w14:paraId="01138540" w14:textId="7A7403A5" w:rsidR="00FB1025" w:rsidRPr="001B456E" w:rsidRDefault="00885AB7" w:rsidP="00FB1025">
      <w:pPr>
        <w:pStyle w:val="Normal0"/>
      </w:pPr>
      <w:r w:rsidRPr="001B456E">
        <w:t xml:space="preserve">Gerald Groff, </w:t>
      </w:r>
      <w:r w:rsidR="00A1531A" w:rsidRPr="001B456E">
        <w:t>a Christian and U.S. Postal Service employee, refused to work on Sundays.</w:t>
      </w:r>
      <w:r w:rsidR="00A1531A" w:rsidRPr="001B456E">
        <w:rPr>
          <w:rFonts w:eastAsiaTheme="minorHAnsi"/>
          <w:color w:val="222222"/>
          <w:szCs w:val="22"/>
          <w:shd w:val="clear" w:color="auto" w:fill="F8F8F8"/>
        </w:rPr>
        <w:t xml:space="preserve"> </w:t>
      </w:r>
      <w:r w:rsidR="00A1531A" w:rsidRPr="001B456E">
        <w:t xml:space="preserve">USPS offered to find employees to swap shifts with him, but sometimes no co-worker would swap, and Groff did not work. </w:t>
      </w:r>
      <w:r w:rsidR="00FB1025" w:rsidRPr="001B456E">
        <w:t xml:space="preserve"> </w:t>
      </w:r>
      <w:r w:rsidR="00A1531A" w:rsidRPr="001B456E">
        <w:t xml:space="preserve">USPS fired him.  Groff sued USPS under Title VII of the Civil Rights Act of 1964, claiming USPS failed to reasonably accommodate his religion. The district court concluded the requested accommodation would </w:t>
      </w:r>
      <w:r w:rsidR="00FB1025" w:rsidRPr="001B456E">
        <w:t>im</w:t>
      </w:r>
      <w:r w:rsidR="00A1531A" w:rsidRPr="001B456E">
        <w:t>pose an undue hardship on USPS and granted summary judgment. The Third Circuit affirmed.</w:t>
      </w:r>
      <w:r w:rsidR="00FB1025" w:rsidRPr="001B456E">
        <w:t xml:space="preserve">  </w:t>
      </w:r>
      <w:r w:rsidR="00FB1025" w:rsidRPr="001B456E">
        <w:rPr>
          <w:b/>
          <w:bCs/>
        </w:rPr>
        <w:t>Question:</w:t>
      </w:r>
      <w:r w:rsidR="00FB1025" w:rsidRPr="001B456E">
        <w:t xml:space="preserve">  Is inconvenience to coworkers an “undue burden” under Title VII sufficient to excuse an employer from providing an</w:t>
      </w:r>
      <w:r w:rsidR="005E4937" w:rsidRPr="001B456E">
        <w:t xml:space="preserve"> </w:t>
      </w:r>
      <w:r w:rsidR="00242DCD" w:rsidRPr="001B456E">
        <w:t xml:space="preserve">employment </w:t>
      </w:r>
      <w:r w:rsidR="00FB1025" w:rsidRPr="001B456E">
        <w:t xml:space="preserve">accommodation </w:t>
      </w:r>
      <w:r w:rsidR="00242DCD" w:rsidRPr="001B456E">
        <w:t>f</w:t>
      </w:r>
      <w:r w:rsidR="00FB1025" w:rsidRPr="001B456E">
        <w:t>or religion?</w:t>
      </w:r>
    </w:p>
    <w:p w14:paraId="2A0D633F" w14:textId="5EA52EEB" w:rsidR="00242DCD" w:rsidRPr="001B456E" w:rsidRDefault="00242DCD" w:rsidP="00FB1025">
      <w:pPr>
        <w:pStyle w:val="Normal0"/>
      </w:pPr>
    </w:p>
    <w:p w14:paraId="0205CEB5" w14:textId="699B76C4" w:rsidR="00242DCD" w:rsidRPr="001B456E" w:rsidRDefault="00242DCD" w:rsidP="00FB1025">
      <w:pPr>
        <w:pStyle w:val="Normal0"/>
        <w:rPr>
          <w:b/>
          <w:bCs/>
          <w:u w:val="single"/>
        </w:rPr>
      </w:pPr>
      <w:r w:rsidRPr="001B456E">
        <w:rPr>
          <w:b/>
          <w:bCs/>
          <w:u w:val="single"/>
        </w:rPr>
        <w:t>Commerce Clause</w:t>
      </w:r>
    </w:p>
    <w:p w14:paraId="0C282E6C" w14:textId="6C090627" w:rsidR="00242DCD" w:rsidRPr="001B456E" w:rsidRDefault="00242DCD" w:rsidP="00FB1025">
      <w:pPr>
        <w:pStyle w:val="Normal0"/>
        <w:rPr>
          <w:b/>
          <w:bCs/>
          <w:u w:val="single"/>
        </w:rPr>
      </w:pPr>
    </w:p>
    <w:p w14:paraId="3BD41004" w14:textId="51774850" w:rsidR="000A553F" w:rsidRPr="001B456E" w:rsidRDefault="00242DCD" w:rsidP="00FB1025">
      <w:pPr>
        <w:pStyle w:val="Normal0"/>
      </w:pPr>
      <w:r w:rsidRPr="001B456E">
        <w:rPr>
          <w:b/>
          <w:bCs/>
          <w:i/>
          <w:iCs/>
        </w:rPr>
        <w:t xml:space="preserve">National Pork Producers Council v. </w:t>
      </w:r>
      <w:proofErr w:type="gramStart"/>
      <w:r w:rsidRPr="001B456E">
        <w:rPr>
          <w:b/>
          <w:bCs/>
          <w:i/>
          <w:iCs/>
        </w:rPr>
        <w:t xml:space="preserve">Ross, </w:t>
      </w:r>
      <w:r w:rsidRPr="001B456E">
        <w:rPr>
          <w:rFonts w:eastAsiaTheme="minorHAnsi"/>
          <w:color w:val="222222"/>
          <w:sz w:val="18"/>
          <w:szCs w:val="18"/>
          <w:shd w:val="clear" w:color="auto" w:fill="F8F8F8"/>
        </w:rPr>
        <w:t xml:space="preserve"> </w:t>
      </w:r>
      <w:r w:rsidRPr="001B456E">
        <w:t>21</w:t>
      </w:r>
      <w:proofErr w:type="gramEnd"/>
      <w:r w:rsidRPr="001B456E">
        <w:t xml:space="preserve">-468 </w:t>
      </w:r>
    </w:p>
    <w:p w14:paraId="2659A7CA" w14:textId="3FFD7CC0" w:rsidR="001F4A98" w:rsidRPr="001B456E" w:rsidRDefault="001F4A98" w:rsidP="00FB1025">
      <w:pPr>
        <w:pStyle w:val="Normal0"/>
      </w:pPr>
      <w:r w:rsidRPr="001B456E">
        <w:t xml:space="preserve">In 2018, California voters passed Proposition 12, which amends the Health and Safety Code to prohibit the sale of pork from </w:t>
      </w:r>
      <w:r w:rsidR="00D62E54" w:rsidRPr="001B456E">
        <w:t xml:space="preserve">hogs </w:t>
      </w:r>
      <w:r w:rsidRPr="001B456E">
        <w:t xml:space="preserve">confined in a manner inconsistent with </w:t>
      </w:r>
      <w:r w:rsidR="00D62E54" w:rsidRPr="001B456E">
        <w:t xml:space="preserve">certain </w:t>
      </w:r>
      <w:r w:rsidRPr="001B456E">
        <w:t>standards.</w:t>
      </w:r>
      <w:r w:rsidR="00D62E54" w:rsidRPr="001B456E">
        <w:t xml:space="preserve"> </w:t>
      </w:r>
      <w:r w:rsidR="00A9599F" w:rsidRPr="001B456E">
        <w:t xml:space="preserve"> </w:t>
      </w:r>
      <w:r w:rsidR="00D62E54" w:rsidRPr="001B456E">
        <w:rPr>
          <w:rFonts w:eastAsiaTheme="minorHAnsi"/>
          <w:color w:val="222222"/>
          <w:szCs w:val="22"/>
          <w:shd w:val="clear" w:color="auto" w:fill="F8F8F8"/>
        </w:rPr>
        <w:t xml:space="preserve">Pork industry participants challenged the law, arguing that </w:t>
      </w:r>
      <w:r w:rsidR="00D62E54" w:rsidRPr="001B456E">
        <w:t xml:space="preserve">Proposition 12 places an undue burden on interstate commerce and causes an impermissible “extraterritorial effect” </w:t>
      </w:r>
      <w:r w:rsidR="000A553F" w:rsidRPr="001B456E">
        <w:t xml:space="preserve">under the dormant Commerce Clause </w:t>
      </w:r>
      <w:r w:rsidR="00D62E54" w:rsidRPr="001B456E">
        <w:t>because it effectively forces hog farmers</w:t>
      </w:r>
      <w:r w:rsidR="00A9599F" w:rsidRPr="001B456E">
        <w:t xml:space="preserve"> across the country</w:t>
      </w:r>
      <w:r w:rsidR="00D62E54" w:rsidRPr="001B456E">
        <w:t xml:space="preserve"> to comply with California </w:t>
      </w:r>
      <w:r w:rsidR="00A9599F" w:rsidRPr="001B456E">
        <w:t xml:space="preserve">law </w:t>
      </w:r>
      <w:r w:rsidR="00D62E54" w:rsidRPr="001B456E">
        <w:t>yet mostly affects transactions</w:t>
      </w:r>
      <w:r w:rsidR="000A553F" w:rsidRPr="001B456E">
        <w:t xml:space="preserve"> in other states</w:t>
      </w:r>
      <w:r w:rsidR="00D62E54" w:rsidRPr="001B456E">
        <w:t xml:space="preserve">, because most pork </w:t>
      </w:r>
      <w:r w:rsidR="00A9599F" w:rsidRPr="001B456E">
        <w:t xml:space="preserve">is </w:t>
      </w:r>
      <w:r w:rsidR="00D62E54" w:rsidRPr="001B456E">
        <w:t>consumed outside of California.</w:t>
      </w:r>
      <w:r w:rsidR="000A553F" w:rsidRPr="001B456E">
        <w:rPr>
          <w:rFonts w:eastAsia="Times New Roman"/>
          <w:szCs w:val="24"/>
        </w:rPr>
        <w:t xml:space="preserve"> </w:t>
      </w:r>
      <w:r w:rsidR="000A553F" w:rsidRPr="001B456E">
        <w:t>The district court dismissed the complaint for failure to state a claim, and the Ninth Circuit affirmed, finding the complaint did not plausibly plead that Proposition 12 violates the dormant Commerce Clause under either theory.</w:t>
      </w:r>
      <w:r w:rsidR="00A9599F" w:rsidRPr="001B456E">
        <w:t xml:space="preserve">  </w:t>
      </w:r>
      <w:r w:rsidR="000A553F" w:rsidRPr="001B456E">
        <w:rPr>
          <w:b/>
          <w:bCs/>
          <w:i/>
          <w:iCs/>
        </w:rPr>
        <w:t xml:space="preserve">Question:  </w:t>
      </w:r>
      <w:r w:rsidR="000A553F" w:rsidRPr="001B456E">
        <w:t xml:space="preserve">Does </w:t>
      </w:r>
      <w:r w:rsidR="00A9599F" w:rsidRPr="001B456E">
        <w:t>the Ca</w:t>
      </w:r>
      <w:r w:rsidR="000A553F" w:rsidRPr="001B456E">
        <w:t>lifornia law violate the Constitution’s Commerce Clause?</w:t>
      </w:r>
    </w:p>
    <w:p w14:paraId="33D11938" w14:textId="59A697EF" w:rsidR="00242DCD" w:rsidRPr="001B456E" w:rsidRDefault="00242DCD" w:rsidP="00FB1025">
      <w:pPr>
        <w:pStyle w:val="Normal0"/>
      </w:pPr>
    </w:p>
    <w:p w14:paraId="58657BF5" w14:textId="0FD227E8" w:rsidR="00041632" w:rsidRPr="001B456E" w:rsidRDefault="00CC5063" w:rsidP="00D661AE">
      <w:pPr>
        <w:pStyle w:val="Normal0"/>
        <w:rPr>
          <w:b/>
          <w:bCs/>
          <w:u w:val="single"/>
        </w:rPr>
      </w:pPr>
      <w:r w:rsidRPr="001B456E">
        <w:rPr>
          <w:b/>
          <w:bCs/>
          <w:u w:val="single"/>
        </w:rPr>
        <w:t>Elections and Voting</w:t>
      </w:r>
    </w:p>
    <w:p w14:paraId="0D0527C6" w14:textId="19D38E4E" w:rsidR="004F4C6E" w:rsidRPr="001B456E" w:rsidRDefault="004F4C6E" w:rsidP="00D661AE">
      <w:pPr>
        <w:pStyle w:val="Normal0"/>
      </w:pPr>
    </w:p>
    <w:p w14:paraId="33124EBE" w14:textId="0E17CB37" w:rsidR="004F4C6E" w:rsidRPr="001B456E" w:rsidRDefault="004F4C6E" w:rsidP="004F4C6E">
      <w:pPr>
        <w:pStyle w:val="Normal0"/>
      </w:pPr>
      <w:r w:rsidRPr="001B456E">
        <w:rPr>
          <w:b/>
          <w:bCs/>
          <w:i/>
          <w:iCs/>
        </w:rPr>
        <w:t>Moore v. Harper</w:t>
      </w:r>
      <w:r w:rsidRPr="001B456E">
        <w:rPr>
          <w:b/>
          <w:bCs/>
        </w:rPr>
        <w:t>,</w:t>
      </w:r>
      <w:r w:rsidRPr="001B456E">
        <w:t xml:space="preserve"> 21-1271</w:t>
      </w:r>
    </w:p>
    <w:p w14:paraId="0D156700" w14:textId="5E6A35BC" w:rsidR="004F4C6E" w:rsidRPr="001B456E" w:rsidRDefault="004F4C6E" w:rsidP="004F4C6E">
      <w:pPr>
        <w:pStyle w:val="Normal0"/>
      </w:pPr>
      <w:r w:rsidRPr="001B456E">
        <w:t>After the 2020 Census, North Carolina gained an additional seat in the U.S. House of Representatives and th</w:t>
      </w:r>
      <w:r w:rsidR="00B82D49" w:rsidRPr="001B456E">
        <w:t xml:space="preserve">e state thus </w:t>
      </w:r>
      <w:r w:rsidRPr="001B456E">
        <w:t>required redistricting</w:t>
      </w:r>
      <w:r w:rsidR="00B82D49" w:rsidRPr="001B456E">
        <w:t>. The</w:t>
      </w:r>
      <w:r w:rsidRPr="001B456E">
        <w:t xml:space="preserve"> Republican-majority state legislature passed </w:t>
      </w:r>
      <w:r w:rsidR="00B82D49" w:rsidRPr="001B456E">
        <w:t xml:space="preserve">a map challenged as </w:t>
      </w:r>
      <w:r w:rsidR="00D8059D" w:rsidRPr="001B456E">
        <w:t xml:space="preserve">a </w:t>
      </w:r>
      <w:r w:rsidRPr="001B456E">
        <w:t>partisan gerrymander.</w:t>
      </w:r>
      <w:r w:rsidR="00D8059D" w:rsidRPr="001B456E">
        <w:t xml:space="preserve">  </w:t>
      </w:r>
      <w:r w:rsidR="00B82D49" w:rsidRPr="001B456E">
        <w:t>T</w:t>
      </w:r>
      <w:r w:rsidRPr="001B456E">
        <w:t xml:space="preserve">he North Carolina Supreme Court struck down the map for violating the state constitution’s “free elections clause” and other provisions. </w:t>
      </w:r>
      <w:r w:rsidR="00B82D49" w:rsidRPr="001B456E">
        <w:t xml:space="preserve"> After rejecting a second map proposed by the </w:t>
      </w:r>
      <w:r w:rsidRPr="001B456E">
        <w:t>legislature</w:t>
      </w:r>
      <w:r w:rsidR="00B82D49" w:rsidRPr="001B456E">
        <w:t>,</w:t>
      </w:r>
      <w:r w:rsidRPr="001B456E">
        <w:t xml:space="preserve"> the court ordered a special master to create a map for the 2022 congressional elections. </w:t>
      </w:r>
      <w:r w:rsidR="00B82D49" w:rsidRPr="001B456E">
        <w:t xml:space="preserve">Legislators sought </w:t>
      </w:r>
      <w:r w:rsidRPr="001B456E">
        <w:t xml:space="preserve">U.S. Supreme Court </w:t>
      </w:r>
      <w:r w:rsidR="00B82D49" w:rsidRPr="001B456E">
        <w:t>r</w:t>
      </w:r>
      <w:r w:rsidRPr="001B456E">
        <w:t>eview based on an argument that the Elections Clause gives state legislatures</w:t>
      </w:r>
      <w:r w:rsidR="00B82D49" w:rsidRPr="001B456E">
        <w:t>, not courts,</w:t>
      </w:r>
      <w:r w:rsidRPr="001B456E">
        <w:t xml:space="preserve"> the authority to regulate federal elections—the Independent State Legislature theory.</w:t>
      </w:r>
      <w:r w:rsidR="00B82D49" w:rsidRPr="001B456E">
        <w:t xml:space="preserve">  </w:t>
      </w:r>
      <w:r w:rsidRPr="001B456E">
        <w:rPr>
          <w:b/>
          <w:bCs/>
        </w:rPr>
        <w:t>Question</w:t>
      </w:r>
      <w:r w:rsidR="00B82D49" w:rsidRPr="001B456E">
        <w:t>:</w:t>
      </w:r>
      <w:r w:rsidR="00D8059D" w:rsidRPr="001B456E">
        <w:t xml:space="preserve">  </w:t>
      </w:r>
      <w:r w:rsidR="00F33E9C" w:rsidRPr="001B456E">
        <w:t>D</w:t>
      </w:r>
      <w:r w:rsidRPr="001B456E">
        <w:t xml:space="preserve">oes the state legislative body, independent </w:t>
      </w:r>
      <w:r w:rsidR="00774CC5" w:rsidRPr="001B456E">
        <w:t xml:space="preserve">of </w:t>
      </w:r>
      <w:r w:rsidRPr="001B456E">
        <w:t>state courts or other laws, have sole authority to regulate federal elections?</w:t>
      </w:r>
      <w:r w:rsidR="006174B6" w:rsidRPr="001B456E">
        <w:t xml:space="preserve"> </w:t>
      </w:r>
      <w:r w:rsidR="006174B6" w:rsidRPr="001B456E">
        <w:rPr>
          <w:b/>
          <w:bCs/>
        </w:rPr>
        <w:t xml:space="preserve"> Note</w:t>
      </w:r>
      <w:r w:rsidR="006174B6" w:rsidRPr="001B456E">
        <w:t xml:space="preserve">:  On February 3, 2023, the </w:t>
      </w:r>
      <w:r w:rsidR="0099421C" w:rsidRPr="001B456E">
        <w:t xml:space="preserve">NC </w:t>
      </w:r>
      <w:r w:rsidR="006174B6" w:rsidRPr="001B456E">
        <w:t>Supreme Court granted rehearing</w:t>
      </w:r>
      <w:r w:rsidR="00D8059D" w:rsidRPr="001B456E">
        <w:t xml:space="preserve"> and o</w:t>
      </w:r>
      <w:r w:rsidR="006174B6" w:rsidRPr="001B456E">
        <w:t>n March 2, the Supremes issued an order requiring supplemental briefing</w:t>
      </w:r>
      <w:r w:rsidR="00D8059D" w:rsidRPr="001B456E">
        <w:t xml:space="preserve"> on whether it still has jurisdiction.</w:t>
      </w:r>
    </w:p>
    <w:p w14:paraId="73CF2E17" w14:textId="77777777" w:rsidR="00A1531A" w:rsidRPr="001B456E" w:rsidRDefault="00A1531A" w:rsidP="004F4C6E">
      <w:pPr>
        <w:pStyle w:val="Normal0"/>
      </w:pPr>
    </w:p>
    <w:p w14:paraId="49F69224" w14:textId="489E38EB" w:rsidR="00041632" w:rsidRPr="001B456E" w:rsidRDefault="005E4937" w:rsidP="004F4C6E">
      <w:pPr>
        <w:pStyle w:val="Normal0"/>
        <w:rPr>
          <w:rFonts w:eastAsia="Calibri"/>
          <w:b/>
          <w:bCs/>
          <w:i/>
          <w:iCs/>
          <w:szCs w:val="22"/>
        </w:rPr>
      </w:pPr>
      <w:r w:rsidRPr="001B456E">
        <w:rPr>
          <w:b/>
          <w:bCs/>
          <w:i/>
          <w:iCs/>
        </w:rPr>
        <w:t xml:space="preserve">See also </w:t>
      </w:r>
      <w:r w:rsidR="00EA0117" w:rsidRPr="001B456E">
        <w:rPr>
          <w:b/>
          <w:bCs/>
          <w:i/>
          <w:iCs/>
        </w:rPr>
        <w:t>Merrill v. Milligan</w:t>
      </w:r>
      <w:r w:rsidR="00EA0117" w:rsidRPr="001B456E">
        <w:t xml:space="preserve">, 21-1086 (three-judge district court granted injunction under Section 2 of the Voting Rights Act as to Alabama’s 2021 redistricting map </w:t>
      </w:r>
      <w:r w:rsidR="00885AB7" w:rsidRPr="001B456E">
        <w:t>for</w:t>
      </w:r>
      <w:r w:rsidR="00EA0117" w:rsidRPr="001B456E">
        <w:t xml:space="preserve"> diluting Black votes; Supreme Court </w:t>
      </w:r>
      <w:r w:rsidR="00885AB7" w:rsidRPr="001B456E">
        <w:t>stayed the injunction pending a merits review)</w:t>
      </w:r>
      <w:r w:rsidR="00A1531A" w:rsidRPr="001B456E">
        <w:t>.</w:t>
      </w:r>
      <w:r w:rsidR="00885AB7" w:rsidRPr="001B456E">
        <w:rPr>
          <w:rFonts w:eastAsia="Calibri"/>
          <w:b/>
          <w:bCs/>
          <w:i/>
          <w:iCs/>
          <w:szCs w:val="22"/>
        </w:rPr>
        <w:t xml:space="preserve"> </w:t>
      </w:r>
    </w:p>
    <w:p w14:paraId="6D2FEE91" w14:textId="77777777" w:rsidR="005E4937" w:rsidRPr="001B456E" w:rsidRDefault="005E4937" w:rsidP="004F4C6E">
      <w:pPr>
        <w:pStyle w:val="Normal0"/>
      </w:pPr>
    </w:p>
    <w:p w14:paraId="0A4774A6" w14:textId="5AA7A967" w:rsidR="00D8059D" w:rsidRPr="001B456E" w:rsidRDefault="005E4937" w:rsidP="004F4C6E">
      <w:pPr>
        <w:pStyle w:val="Normal0"/>
        <w:rPr>
          <w:b/>
          <w:bCs/>
          <w:u w:val="single"/>
        </w:rPr>
      </w:pPr>
      <w:r w:rsidRPr="001B456E">
        <w:rPr>
          <w:b/>
          <w:bCs/>
          <w:u w:val="single"/>
        </w:rPr>
        <w:t xml:space="preserve">Executive </w:t>
      </w:r>
      <w:r w:rsidR="00242DCD" w:rsidRPr="001B456E">
        <w:rPr>
          <w:b/>
          <w:bCs/>
          <w:u w:val="single"/>
        </w:rPr>
        <w:t>Authority</w:t>
      </w:r>
    </w:p>
    <w:p w14:paraId="737D7C83" w14:textId="77777777" w:rsidR="005E4937" w:rsidRPr="001B456E" w:rsidRDefault="005E4937" w:rsidP="004F4C6E">
      <w:pPr>
        <w:pStyle w:val="Normal0"/>
      </w:pPr>
    </w:p>
    <w:p w14:paraId="690574F9" w14:textId="430FB264" w:rsidR="00D8059D" w:rsidRPr="001B456E" w:rsidRDefault="00D8059D" w:rsidP="004F4C6E">
      <w:pPr>
        <w:pStyle w:val="Normal0"/>
      </w:pPr>
      <w:r w:rsidRPr="001B456E">
        <w:rPr>
          <w:b/>
          <w:bCs/>
          <w:i/>
          <w:iCs/>
        </w:rPr>
        <w:t>Biden v. Nebraska,</w:t>
      </w:r>
      <w:r w:rsidRPr="001B456E">
        <w:t xml:space="preserve"> 22-506</w:t>
      </w:r>
    </w:p>
    <w:p w14:paraId="0BED7CC3" w14:textId="0A04C979" w:rsidR="00D8059D" w:rsidRPr="001B456E" w:rsidRDefault="005C3A2B" w:rsidP="00D8059D">
      <w:pPr>
        <w:pStyle w:val="Normal0"/>
        <w:rPr>
          <w:rFonts w:eastAsiaTheme="minorHAnsi"/>
          <w:sz w:val="22"/>
          <w:szCs w:val="22"/>
        </w:rPr>
      </w:pPr>
      <w:r w:rsidRPr="001B456E">
        <w:t>T</w:t>
      </w:r>
      <w:r w:rsidR="00D8059D" w:rsidRPr="001B456E">
        <w:t>he Biden administration announced its intent to forgive, via executive action, $10,000 in student loans for borrowers with annual income</w:t>
      </w:r>
      <w:r w:rsidRPr="001B456E">
        <w:t>s</w:t>
      </w:r>
      <w:r w:rsidR="00D8059D" w:rsidRPr="001B456E">
        <w:t xml:space="preserve"> of less than $125,000.</w:t>
      </w:r>
      <w:r w:rsidRPr="001B456E">
        <w:t xml:space="preserve">  </w:t>
      </w:r>
      <w:r w:rsidR="00D8059D" w:rsidRPr="001B456E">
        <w:t>Nebraska and other states challenged the program, arguing that it violated the separation of powers and the Administrative Procedure Act. The district court dismissed the challenge, finding that the states lacked standing to sue. The Eighth Circuit enjoined the forgiveness program pending appeal. </w:t>
      </w:r>
      <w:r w:rsidRPr="001B456E">
        <w:t xml:space="preserve"> </w:t>
      </w:r>
      <w:r w:rsidRPr="001B456E">
        <w:rPr>
          <w:b/>
          <w:bCs/>
        </w:rPr>
        <w:t xml:space="preserve"> </w:t>
      </w:r>
      <w:r w:rsidR="00D8059D" w:rsidRPr="001B456E">
        <w:rPr>
          <w:b/>
          <w:bCs/>
        </w:rPr>
        <w:t>Question</w:t>
      </w:r>
      <w:r w:rsidRPr="001B456E">
        <w:rPr>
          <w:b/>
          <w:bCs/>
        </w:rPr>
        <w:t>s:</w:t>
      </w:r>
      <w:r w:rsidRPr="001B456E">
        <w:t xml:space="preserve">  </w:t>
      </w:r>
      <w:r w:rsidR="00D8059D" w:rsidRPr="001B456E">
        <w:t xml:space="preserve">1. Do </w:t>
      </w:r>
      <w:r w:rsidRPr="001B456E">
        <w:t>the states</w:t>
      </w:r>
      <w:r w:rsidR="00D8059D" w:rsidRPr="001B456E">
        <w:t xml:space="preserve"> have standing to challenge the student-debt relief program?</w:t>
      </w:r>
      <w:r w:rsidRPr="001B456E">
        <w:t xml:space="preserve">  </w:t>
      </w:r>
      <w:r w:rsidR="00D8059D" w:rsidRPr="001B456E">
        <w:t xml:space="preserve">2. Does the student-debt relief </w:t>
      </w:r>
      <w:r w:rsidR="00560EB4" w:rsidRPr="001B456E">
        <w:t xml:space="preserve">action, grounded in the Higher Education Relief Opportunities for </w:t>
      </w:r>
      <w:r w:rsidR="00560EB4" w:rsidRPr="001B456E">
        <w:lastRenderedPageBreak/>
        <w:t>Students (HEROES) Act of 2003,</w:t>
      </w:r>
      <w:r w:rsidR="00D8059D" w:rsidRPr="001B456E">
        <w:t xml:space="preserve"> exceed the </w:t>
      </w:r>
      <w:r w:rsidR="00390921" w:rsidRPr="001B456E">
        <w:t xml:space="preserve">executive </w:t>
      </w:r>
      <w:r w:rsidR="00D8059D" w:rsidRPr="001B456E">
        <w:t>authority of the U.S. Secretary of Education or violate the Administrative Procedure Act?</w:t>
      </w:r>
      <w:r w:rsidR="00665063" w:rsidRPr="001B456E">
        <w:rPr>
          <w:rFonts w:eastAsiaTheme="minorHAnsi"/>
          <w:sz w:val="22"/>
          <w:szCs w:val="22"/>
        </w:rPr>
        <w:t xml:space="preserve"> </w:t>
      </w:r>
    </w:p>
    <w:p w14:paraId="641DA436" w14:textId="603195B7" w:rsidR="005E4937" w:rsidRPr="001B456E" w:rsidRDefault="005E4937" w:rsidP="00D8059D">
      <w:pPr>
        <w:pStyle w:val="Normal0"/>
        <w:rPr>
          <w:rFonts w:eastAsiaTheme="minorHAnsi"/>
          <w:sz w:val="22"/>
          <w:szCs w:val="22"/>
        </w:rPr>
      </w:pPr>
    </w:p>
    <w:p w14:paraId="69496F1C" w14:textId="6608528D" w:rsidR="005E4937" w:rsidRPr="001B456E" w:rsidRDefault="00CC5063" w:rsidP="00D8059D">
      <w:pPr>
        <w:pStyle w:val="Normal0"/>
        <w:rPr>
          <w:rFonts w:eastAsiaTheme="minorHAnsi"/>
          <w:b/>
          <w:bCs/>
          <w:szCs w:val="24"/>
          <w:u w:val="single"/>
        </w:rPr>
      </w:pPr>
      <w:r w:rsidRPr="001B456E">
        <w:rPr>
          <w:rFonts w:eastAsiaTheme="minorHAnsi"/>
          <w:b/>
          <w:bCs/>
          <w:szCs w:val="24"/>
          <w:u w:val="single"/>
        </w:rPr>
        <w:t>Technology platforms and terrorism</w:t>
      </w:r>
    </w:p>
    <w:p w14:paraId="3F59C972" w14:textId="7291DDB2" w:rsidR="00665063" w:rsidRPr="001B456E" w:rsidRDefault="00665063" w:rsidP="00D8059D">
      <w:pPr>
        <w:pStyle w:val="Normal0"/>
      </w:pPr>
    </w:p>
    <w:p w14:paraId="66AE2082" w14:textId="77777777" w:rsidR="00E670F8" w:rsidRPr="001B456E" w:rsidRDefault="00E670F8" w:rsidP="00D8059D">
      <w:pPr>
        <w:pStyle w:val="Normal0"/>
      </w:pPr>
      <w:r w:rsidRPr="001B456E">
        <w:rPr>
          <w:b/>
          <w:bCs/>
          <w:i/>
          <w:iCs/>
        </w:rPr>
        <w:t>Gonzalez v. Google</w:t>
      </w:r>
      <w:r w:rsidRPr="001B456E">
        <w:t>, No. 21-1333</w:t>
      </w:r>
    </w:p>
    <w:p w14:paraId="39BFC8DD" w14:textId="33EEC7E6" w:rsidR="001B5CB1" w:rsidRPr="001B456E" w:rsidRDefault="00000000" w:rsidP="001B5CB1">
      <w:pPr>
        <w:pStyle w:val="Normal0"/>
      </w:pPr>
      <w:hyperlink r:id="rId7" w:history="1">
        <w:r w:rsidR="00665063" w:rsidRPr="001B456E">
          <w:rPr>
            <w:rStyle w:val="Hyperlink"/>
            <w:color w:val="auto"/>
            <w:u w:val="none"/>
          </w:rPr>
          <w:t>Nohemi Gonzalez</w:t>
        </w:r>
      </w:hyperlink>
      <w:r w:rsidR="00665063" w:rsidRPr="001B456E">
        <w:t>, a 23-year-old college student</w:t>
      </w:r>
      <w:r w:rsidR="00BF698C" w:rsidRPr="001B456E">
        <w:t>,</w:t>
      </w:r>
      <w:r w:rsidR="00665063" w:rsidRPr="001B456E">
        <w:t xml:space="preserve"> was killed in a </w:t>
      </w:r>
      <w:r w:rsidR="0099421C" w:rsidRPr="001B456E">
        <w:t xml:space="preserve">Paris </w:t>
      </w:r>
      <w:r w:rsidR="00665063" w:rsidRPr="001B456E">
        <w:t>restaurant during</w:t>
      </w:r>
      <w:r w:rsidR="001B5CB1" w:rsidRPr="001B456E">
        <w:t xml:space="preserve"> </w:t>
      </w:r>
      <w:r w:rsidR="00665063" w:rsidRPr="001B456E">
        <w:t xml:space="preserve">terrorist attacks in November 2015. </w:t>
      </w:r>
      <w:r w:rsidR="001B5CB1" w:rsidRPr="001B456E">
        <w:t>Gonzalez’s father filed an action against Google, Twitter, and Facebook, claiming, among other things, that Google aided and abetted international terrorism because Google uses computer algorithms that suggest content to users based on their viewing history, thus assisting ISIS in spreading its message. The district court granted Google’s motion to dismiss based on Section 230</w:t>
      </w:r>
      <w:r w:rsidR="00C573BA" w:rsidRPr="001B456E">
        <w:t xml:space="preserve"> of the Communications Decency Act</w:t>
      </w:r>
      <w:r w:rsidR="001B5CB1" w:rsidRPr="001B456E">
        <w:t xml:space="preserve">, </w:t>
      </w:r>
      <w:r w:rsidR="00C573BA" w:rsidRPr="001B456E">
        <w:t xml:space="preserve">which protects online platforms </w:t>
      </w:r>
      <w:r w:rsidR="00426442" w:rsidRPr="001B456E">
        <w:t xml:space="preserve">that moderate content from </w:t>
      </w:r>
      <w:r w:rsidR="00C573BA" w:rsidRPr="001B456E">
        <w:t>being held legally responsible for content posted by users.</w:t>
      </w:r>
      <w:r w:rsidR="00426442" w:rsidRPr="001B456E">
        <w:t xml:space="preserve"> The </w:t>
      </w:r>
      <w:r w:rsidR="001B5CB1" w:rsidRPr="001B456E">
        <w:t>Ninth Circuit affirmed.</w:t>
      </w:r>
      <w:r w:rsidR="00C573BA" w:rsidRPr="001B456E">
        <w:t xml:space="preserve"> </w:t>
      </w:r>
      <w:r w:rsidR="00C573BA" w:rsidRPr="001B456E">
        <w:rPr>
          <w:b/>
          <w:bCs/>
        </w:rPr>
        <w:t xml:space="preserve"> </w:t>
      </w:r>
      <w:r w:rsidR="001B5CB1" w:rsidRPr="001B456E">
        <w:rPr>
          <w:b/>
          <w:bCs/>
        </w:rPr>
        <w:t>Question</w:t>
      </w:r>
      <w:r w:rsidR="00C573BA" w:rsidRPr="001B456E">
        <w:rPr>
          <w:b/>
          <w:bCs/>
        </w:rPr>
        <w:t xml:space="preserve">: </w:t>
      </w:r>
      <w:r w:rsidR="001B5CB1" w:rsidRPr="001B456E">
        <w:t xml:space="preserve">Does Section 230(c)(1) immunize interactive computer services when they make targeted </w:t>
      </w:r>
      <w:r w:rsidR="00426442" w:rsidRPr="001B456E">
        <w:t>r</w:t>
      </w:r>
      <w:r w:rsidR="001B5CB1" w:rsidRPr="001B456E">
        <w:t>ecommendations of information provided by a</w:t>
      </w:r>
      <w:r w:rsidR="00774CC5" w:rsidRPr="001B456E">
        <w:t xml:space="preserve"> third-party</w:t>
      </w:r>
      <w:r w:rsidR="001B5CB1" w:rsidRPr="001B456E">
        <w:t xml:space="preserve"> content provider?</w:t>
      </w:r>
    </w:p>
    <w:p w14:paraId="6A7798B8" w14:textId="092AC6B4" w:rsidR="00CC5063" w:rsidRPr="001B456E" w:rsidRDefault="00CC5063" w:rsidP="001B5CB1">
      <w:pPr>
        <w:pStyle w:val="Normal0"/>
      </w:pPr>
    </w:p>
    <w:p w14:paraId="39517ABA" w14:textId="77777777" w:rsidR="00CC5063" w:rsidRPr="001B456E" w:rsidRDefault="00CC5063" w:rsidP="00CC5063">
      <w:pPr>
        <w:pStyle w:val="Normal0"/>
      </w:pPr>
      <w:r w:rsidRPr="001B456E">
        <w:rPr>
          <w:b/>
          <w:bCs/>
          <w:i/>
          <w:iCs/>
        </w:rPr>
        <w:t xml:space="preserve">See also Twitter v. </w:t>
      </w:r>
      <w:proofErr w:type="spellStart"/>
      <w:r w:rsidRPr="001B456E">
        <w:rPr>
          <w:b/>
          <w:bCs/>
          <w:i/>
          <w:iCs/>
        </w:rPr>
        <w:t>Taamneh</w:t>
      </w:r>
      <w:proofErr w:type="spellEnd"/>
      <w:r w:rsidRPr="001B456E">
        <w:rPr>
          <w:b/>
          <w:bCs/>
        </w:rPr>
        <w:t>,</w:t>
      </w:r>
      <w:r w:rsidRPr="001B456E">
        <w:t xml:space="preserve"> 21-1496  (companion case that will decide whether Twitter along with Facebook and Google can be held liable, regardless of Section 230, for aiding and abetting a January 2017 ISIS attack at the Reina nightclub in Istanbul under Section 2333 of the Anti-Terrorism Act, as amended by the Justice Against Sponsors of Terrorism Act, based on ISIS’s use of the companies’ platforms; the Ninth Circuit reversed dismissal).</w:t>
      </w:r>
    </w:p>
    <w:p w14:paraId="4915A488" w14:textId="77777777" w:rsidR="00CC5063" w:rsidRPr="001B456E" w:rsidRDefault="00CC5063" w:rsidP="001B5CB1">
      <w:pPr>
        <w:pStyle w:val="Normal0"/>
      </w:pPr>
    </w:p>
    <w:p w14:paraId="06A32B48" w14:textId="3CC025EC" w:rsidR="005E4937" w:rsidRPr="001B456E" w:rsidRDefault="005E4937" w:rsidP="001B5CB1">
      <w:pPr>
        <w:pStyle w:val="Normal0"/>
      </w:pPr>
    </w:p>
    <w:p w14:paraId="5873C655" w14:textId="1FFB3C41" w:rsidR="00D4547B" w:rsidRPr="001B456E" w:rsidRDefault="00D4547B" w:rsidP="00D4547B">
      <w:pPr>
        <w:spacing w:before="100" w:beforeAutospacing="1" w:after="100" w:afterAutospacing="1"/>
        <w:rPr>
          <w:rFonts w:ascii="Times New Roman" w:eastAsia="Times New Roman" w:hAnsi="Times New Roman" w:cs="Times New Roman"/>
          <w:szCs w:val="24"/>
        </w:rPr>
      </w:pPr>
    </w:p>
    <w:p w14:paraId="6F1B4470" w14:textId="7292AAE9" w:rsidR="00D4547B" w:rsidRPr="001B456E" w:rsidRDefault="00D4547B" w:rsidP="00D4547B">
      <w:pPr>
        <w:spacing w:before="100" w:beforeAutospacing="1" w:after="100" w:afterAutospacing="1"/>
        <w:rPr>
          <w:rFonts w:ascii="Times New Roman" w:eastAsia="Times New Roman" w:hAnsi="Times New Roman" w:cs="Times New Roman"/>
          <w:szCs w:val="24"/>
        </w:rPr>
      </w:pPr>
    </w:p>
    <w:p w14:paraId="2D6762E0" w14:textId="0ED4D533" w:rsidR="007B0076" w:rsidRPr="001B456E" w:rsidRDefault="007B0076" w:rsidP="007B0076">
      <w:pPr>
        <w:pStyle w:val="Normal0"/>
      </w:pPr>
    </w:p>
    <w:p w14:paraId="7248F540" w14:textId="77777777" w:rsidR="007B0076" w:rsidRPr="001B456E" w:rsidRDefault="007B0076" w:rsidP="007B0076">
      <w:pPr>
        <w:pStyle w:val="Normal0"/>
      </w:pPr>
    </w:p>
    <w:p w14:paraId="3F86726E" w14:textId="1603BFF9" w:rsidR="007B0076" w:rsidRPr="001B456E" w:rsidRDefault="007B0076" w:rsidP="007B0076">
      <w:pPr>
        <w:pStyle w:val="Normal0"/>
      </w:pPr>
    </w:p>
    <w:p w14:paraId="23E0C9C4" w14:textId="77777777" w:rsidR="007B0076" w:rsidRPr="001B456E" w:rsidRDefault="007B0076" w:rsidP="007B0076">
      <w:pPr>
        <w:pStyle w:val="Normal0"/>
      </w:pPr>
    </w:p>
    <w:p w14:paraId="50080C6B" w14:textId="6A665333" w:rsidR="00426442" w:rsidRPr="001B456E" w:rsidRDefault="00426442" w:rsidP="007B0076">
      <w:pPr>
        <w:pStyle w:val="Normal0"/>
      </w:pPr>
    </w:p>
    <w:p w14:paraId="7926205F" w14:textId="77777777" w:rsidR="00426442" w:rsidRPr="001B456E" w:rsidRDefault="00426442" w:rsidP="001B5CB1">
      <w:pPr>
        <w:pStyle w:val="Normal0"/>
      </w:pPr>
    </w:p>
    <w:p w14:paraId="0D89A047" w14:textId="68C1EB20" w:rsidR="001B5CB1" w:rsidRPr="001B456E" w:rsidRDefault="001B5CB1" w:rsidP="001B5CB1">
      <w:pPr>
        <w:pStyle w:val="Normal0"/>
      </w:pPr>
    </w:p>
    <w:p w14:paraId="60F2FA36" w14:textId="73D67D09" w:rsidR="00665063" w:rsidRPr="001B456E" w:rsidRDefault="00665063" w:rsidP="00D8059D">
      <w:pPr>
        <w:pStyle w:val="Normal0"/>
      </w:pPr>
    </w:p>
    <w:p w14:paraId="41FC4766" w14:textId="064BF77D" w:rsidR="00665063" w:rsidRPr="001B456E" w:rsidRDefault="00665063" w:rsidP="00D8059D">
      <w:pPr>
        <w:pStyle w:val="Normal0"/>
      </w:pPr>
    </w:p>
    <w:p w14:paraId="2B622B50" w14:textId="77777777" w:rsidR="00665063" w:rsidRPr="001B456E" w:rsidRDefault="00665063" w:rsidP="00D8059D">
      <w:pPr>
        <w:pStyle w:val="Normal0"/>
      </w:pPr>
    </w:p>
    <w:p w14:paraId="3DDA49FC" w14:textId="7A55296D" w:rsidR="005C3A2B" w:rsidRPr="001B456E" w:rsidRDefault="005C3A2B" w:rsidP="00D8059D">
      <w:pPr>
        <w:pStyle w:val="Normal0"/>
      </w:pPr>
    </w:p>
    <w:p w14:paraId="3023357B" w14:textId="77777777" w:rsidR="005C3A2B" w:rsidRPr="001B456E" w:rsidRDefault="005C3A2B" w:rsidP="00D8059D">
      <w:pPr>
        <w:pStyle w:val="Normal0"/>
      </w:pPr>
    </w:p>
    <w:p w14:paraId="44CF335F" w14:textId="77777777" w:rsidR="004F4C6E" w:rsidRPr="001B456E" w:rsidRDefault="004F4C6E" w:rsidP="00D661AE">
      <w:pPr>
        <w:pStyle w:val="Normal0"/>
      </w:pPr>
    </w:p>
    <w:sectPr w:rsidR="004F4C6E" w:rsidRPr="001B456E" w:rsidSect="00E4085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C8A6" w14:textId="77777777" w:rsidR="009945F6" w:rsidRDefault="009945F6" w:rsidP="002D26EA">
      <w:r>
        <w:separator/>
      </w:r>
    </w:p>
  </w:endnote>
  <w:endnote w:type="continuationSeparator" w:id="0">
    <w:p w14:paraId="0CA95EBF" w14:textId="77777777" w:rsidR="009945F6" w:rsidRDefault="009945F6" w:rsidP="002D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881340"/>
      <w:docPartObj>
        <w:docPartGallery w:val="Page Numbers (Bottom of Page)"/>
        <w:docPartUnique/>
      </w:docPartObj>
    </w:sdtPr>
    <w:sdtEndPr>
      <w:rPr>
        <w:noProof/>
      </w:rPr>
    </w:sdtEndPr>
    <w:sdtContent>
      <w:p w14:paraId="43FD3C7C" w14:textId="3C7AF7B6" w:rsidR="001B456E" w:rsidRDefault="001B45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EB6B95" w14:textId="77777777" w:rsidR="001B456E" w:rsidRDefault="001B4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5D25" w14:textId="77777777" w:rsidR="009945F6" w:rsidRDefault="009945F6" w:rsidP="002D26EA">
      <w:r>
        <w:separator/>
      </w:r>
    </w:p>
  </w:footnote>
  <w:footnote w:type="continuationSeparator" w:id="0">
    <w:p w14:paraId="6F04E3FD" w14:textId="77777777" w:rsidR="009945F6" w:rsidRDefault="009945F6" w:rsidP="002D2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341F" w14:textId="4EA9438F" w:rsidR="001B456E" w:rsidRDefault="001B456E">
    <w:pPr>
      <w:pStyle w:val="Header"/>
      <w:jc w:val="center"/>
    </w:pPr>
  </w:p>
  <w:p w14:paraId="6D65E4E0" w14:textId="77777777" w:rsidR="001B456E" w:rsidRDefault="001B4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2396406">
    <w:abstractNumId w:val="5"/>
  </w:num>
  <w:num w:numId="2" w16cid:durableId="594442724">
    <w:abstractNumId w:val="4"/>
  </w:num>
  <w:num w:numId="3" w16cid:durableId="1723747065">
    <w:abstractNumId w:val="4"/>
  </w:num>
  <w:num w:numId="4" w16cid:durableId="900601133">
    <w:abstractNumId w:val="3"/>
  </w:num>
  <w:num w:numId="5" w16cid:durableId="19816080">
    <w:abstractNumId w:val="3"/>
  </w:num>
  <w:num w:numId="6" w16cid:durableId="1767261575">
    <w:abstractNumId w:val="2"/>
  </w:num>
  <w:num w:numId="7" w16cid:durableId="1180847574">
    <w:abstractNumId w:val="2"/>
  </w:num>
  <w:num w:numId="8" w16cid:durableId="1348631922">
    <w:abstractNumId w:val="1"/>
  </w:num>
  <w:num w:numId="9" w16cid:durableId="717633847">
    <w:abstractNumId w:val="1"/>
  </w:num>
  <w:num w:numId="10" w16cid:durableId="1025402188">
    <w:abstractNumId w:val="0"/>
  </w:num>
  <w:num w:numId="11" w16cid:durableId="403184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lickAndTypeStyle w:val="Normal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12"/>
    <w:rsid w:val="00010CE0"/>
    <w:rsid w:val="00041632"/>
    <w:rsid w:val="000A553F"/>
    <w:rsid w:val="000D0BAE"/>
    <w:rsid w:val="000F7910"/>
    <w:rsid w:val="00136E1D"/>
    <w:rsid w:val="001B456E"/>
    <w:rsid w:val="001B5CB1"/>
    <w:rsid w:val="001C5DFE"/>
    <w:rsid w:val="001F4A98"/>
    <w:rsid w:val="002378D2"/>
    <w:rsid w:val="00242DCD"/>
    <w:rsid w:val="00276ED8"/>
    <w:rsid w:val="00280B93"/>
    <w:rsid w:val="002B0B68"/>
    <w:rsid w:val="002C666D"/>
    <w:rsid w:val="002D26EA"/>
    <w:rsid w:val="00310080"/>
    <w:rsid w:val="00352720"/>
    <w:rsid w:val="00364F3C"/>
    <w:rsid w:val="00365FE8"/>
    <w:rsid w:val="00367B06"/>
    <w:rsid w:val="00390921"/>
    <w:rsid w:val="00426442"/>
    <w:rsid w:val="004363A0"/>
    <w:rsid w:val="004F4C6E"/>
    <w:rsid w:val="00560EB4"/>
    <w:rsid w:val="00595F29"/>
    <w:rsid w:val="005B6726"/>
    <w:rsid w:val="005C30BD"/>
    <w:rsid w:val="005C3A2B"/>
    <w:rsid w:val="005E4937"/>
    <w:rsid w:val="006174B6"/>
    <w:rsid w:val="00665063"/>
    <w:rsid w:val="006715B4"/>
    <w:rsid w:val="006728D3"/>
    <w:rsid w:val="006A0245"/>
    <w:rsid w:val="006B088B"/>
    <w:rsid w:val="006D22D4"/>
    <w:rsid w:val="006D7DFB"/>
    <w:rsid w:val="006E5941"/>
    <w:rsid w:val="00700E92"/>
    <w:rsid w:val="0073390E"/>
    <w:rsid w:val="00774CC5"/>
    <w:rsid w:val="007B0076"/>
    <w:rsid w:val="007D16F6"/>
    <w:rsid w:val="007E42FE"/>
    <w:rsid w:val="00841A80"/>
    <w:rsid w:val="00850A44"/>
    <w:rsid w:val="00885AB7"/>
    <w:rsid w:val="008A668F"/>
    <w:rsid w:val="00912BAC"/>
    <w:rsid w:val="009720FB"/>
    <w:rsid w:val="009747BC"/>
    <w:rsid w:val="009854C4"/>
    <w:rsid w:val="0099421C"/>
    <w:rsid w:val="009945F6"/>
    <w:rsid w:val="00A03C16"/>
    <w:rsid w:val="00A1531A"/>
    <w:rsid w:val="00A268EF"/>
    <w:rsid w:val="00A53D34"/>
    <w:rsid w:val="00A8300B"/>
    <w:rsid w:val="00A9599F"/>
    <w:rsid w:val="00B237B0"/>
    <w:rsid w:val="00B82D49"/>
    <w:rsid w:val="00BC1C12"/>
    <w:rsid w:val="00BC452B"/>
    <w:rsid w:val="00BD0F95"/>
    <w:rsid w:val="00BE44C8"/>
    <w:rsid w:val="00BF698C"/>
    <w:rsid w:val="00C06AE6"/>
    <w:rsid w:val="00C1502C"/>
    <w:rsid w:val="00C573BA"/>
    <w:rsid w:val="00CC0567"/>
    <w:rsid w:val="00CC2690"/>
    <w:rsid w:val="00CC5063"/>
    <w:rsid w:val="00D41F20"/>
    <w:rsid w:val="00D4547B"/>
    <w:rsid w:val="00D62E54"/>
    <w:rsid w:val="00D661AE"/>
    <w:rsid w:val="00D8059D"/>
    <w:rsid w:val="00E4085F"/>
    <w:rsid w:val="00E670F8"/>
    <w:rsid w:val="00E70BB8"/>
    <w:rsid w:val="00EA0117"/>
    <w:rsid w:val="00F33E9C"/>
    <w:rsid w:val="00F45027"/>
    <w:rsid w:val="00F91523"/>
    <w:rsid w:val="00FB1025"/>
    <w:rsid w:val="00FB3011"/>
    <w:rsid w:val="00FC045F"/>
    <w:rsid w:val="00FE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8FB4"/>
  <w15:chartTrackingRefBased/>
  <w15:docId w15:val="{83D9FAD1-BE84-407A-B689-5EBEBB95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56E"/>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FB1025"/>
    <w:pPr>
      <w:keepNext/>
      <w:keepLines/>
      <w:suppressAutoHyphen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2D26EA"/>
    <w:pPr>
      <w:ind w:left="720" w:hanging="720"/>
    </w:pPr>
    <w:rPr>
      <w:sz w:val="20"/>
    </w:rPr>
  </w:style>
  <w:style w:type="character" w:customStyle="1" w:styleId="FootnoteTextChar">
    <w:name w:val="Footnote Text Char"/>
    <w:basedOn w:val="DefaultParagraphFont"/>
    <w:link w:val="FootnoteText"/>
    <w:rsid w:val="002D26EA"/>
    <w:rPr>
      <w:rFonts w:ascii="Times New Roman" w:eastAsia="SimSun" w:hAnsi="Times New Roman" w:cs="Times New Roman"/>
      <w:sz w:val="20"/>
      <w:szCs w:val="20"/>
    </w:rPr>
  </w:style>
  <w:style w:type="paragraph" w:styleId="ListBullet">
    <w:name w:val="List Bullet"/>
    <w:basedOn w:val="Normal"/>
    <w:rsid w:val="0073390E"/>
    <w:pPr>
      <w:numPr>
        <w:numId w:val="3"/>
      </w:numPr>
      <w:suppressAutoHyphens/>
      <w:spacing w:after="240"/>
    </w:pPr>
    <w:rPr>
      <w:rFonts w:ascii="Times New Roman" w:eastAsia="SimSun" w:hAnsi="Times New Roman" w:cs="Times New Roman"/>
      <w:sz w:val="24"/>
      <w:szCs w:val="24"/>
      <w:lang w:eastAsia="zh-CN"/>
    </w:rPr>
  </w:style>
  <w:style w:type="paragraph" w:styleId="ListBullet2">
    <w:name w:val="List Bullet 2"/>
    <w:basedOn w:val="Normal"/>
    <w:rsid w:val="0073390E"/>
    <w:pPr>
      <w:numPr>
        <w:numId w:val="5"/>
      </w:numPr>
      <w:suppressAutoHyphens/>
      <w:spacing w:after="240"/>
    </w:pPr>
    <w:rPr>
      <w:rFonts w:ascii="Times New Roman" w:eastAsia="SimSun" w:hAnsi="Times New Roman" w:cs="Times New Roman"/>
      <w:sz w:val="24"/>
      <w:szCs w:val="24"/>
      <w:lang w:eastAsia="zh-CN"/>
    </w:rPr>
  </w:style>
  <w:style w:type="paragraph" w:styleId="ListBullet3">
    <w:name w:val="List Bullet 3"/>
    <w:basedOn w:val="Normal"/>
    <w:rsid w:val="0073390E"/>
    <w:pPr>
      <w:numPr>
        <w:numId w:val="7"/>
      </w:numPr>
      <w:suppressAutoHyphens/>
      <w:spacing w:after="240"/>
    </w:pPr>
    <w:rPr>
      <w:rFonts w:ascii="Times New Roman" w:eastAsia="SimSun" w:hAnsi="Times New Roman" w:cs="Times New Roman"/>
      <w:sz w:val="24"/>
      <w:szCs w:val="24"/>
      <w:lang w:eastAsia="zh-CN"/>
    </w:rPr>
  </w:style>
  <w:style w:type="paragraph" w:styleId="ListBullet4">
    <w:name w:val="List Bullet 4"/>
    <w:basedOn w:val="Normal"/>
    <w:rsid w:val="0073390E"/>
    <w:pPr>
      <w:numPr>
        <w:numId w:val="9"/>
      </w:numPr>
      <w:suppressAutoHyphens/>
      <w:spacing w:after="240"/>
    </w:pPr>
    <w:rPr>
      <w:rFonts w:ascii="Times New Roman" w:eastAsia="SimSun" w:hAnsi="Times New Roman" w:cs="Times New Roman"/>
      <w:sz w:val="24"/>
      <w:szCs w:val="24"/>
      <w:lang w:eastAsia="zh-CN"/>
    </w:rPr>
  </w:style>
  <w:style w:type="paragraph" w:styleId="ListBullet5">
    <w:name w:val="List Bullet 5"/>
    <w:basedOn w:val="Normal"/>
    <w:rsid w:val="0073390E"/>
    <w:pPr>
      <w:numPr>
        <w:numId w:val="11"/>
      </w:numPr>
      <w:suppressAutoHyphens/>
      <w:spacing w:after="240"/>
    </w:pPr>
    <w:rPr>
      <w:rFonts w:ascii="Times New Roman" w:eastAsia="SimSun" w:hAnsi="Times New Roman" w:cs="Times New Roman"/>
      <w:sz w:val="24"/>
      <w:szCs w:val="24"/>
      <w:lang w:eastAsia="zh-CN"/>
    </w:rPr>
  </w:style>
  <w:style w:type="character" w:styleId="FootnoteReference">
    <w:name w:val="footnote reference"/>
    <w:basedOn w:val="DefaultParagraphFont"/>
    <w:uiPriority w:val="99"/>
    <w:semiHidden/>
    <w:unhideWhenUsed/>
    <w:rsid w:val="002D26EA"/>
    <w:rPr>
      <w:vertAlign w:val="superscript"/>
    </w:rPr>
  </w:style>
  <w:style w:type="table" w:styleId="TableGrid">
    <w:name w:val="Table Grid"/>
    <w:basedOn w:val="TableNormal"/>
    <w:uiPriority w:val="39"/>
    <w:rsid w:val="00BD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063"/>
    <w:rPr>
      <w:color w:val="0563C1" w:themeColor="hyperlink"/>
      <w:u w:val="single"/>
    </w:rPr>
  </w:style>
  <w:style w:type="character" w:styleId="UnresolvedMention">
    <w:name w:val="Unresolved Mention"/>
    <w:basedOn w:val="DefaultParagraphFont"/>
    <w:uiPriority w:val="99"/>
    <w:semiHidden/>
    <w:unhideWhenUsed/>
    <w:rsid w:val="00665063"/>
    <w:rPr>
      <w:color w:val="605E5C"/>
      <w:shd w:val="clear" w:color="auto" w:fill="E1DFDD"/>
    </w:rPr>
  </w:style>
  <w:style w:type="paragraph" w:styleId="NormalWeb">
    <w:name w:val="Normal (Web)"/>
    <w:basedOn w:val="Normal"/>
    <w:uiPriority w:val="99"/>
    <w:semiHidden/>
    <w:unhideWhenUsed/>
    <w:rsid w:val="001B5CB1"/>
    <w:rPr>
      <w:szCs w:val="24"/>
    </w:rPr>
  </w:style>
  <w:style w:type="character" w:customStyle="1" w:styleId="Heading2Char">
    <w:name w:val="Heading 2 Char"/>
    <w:basedOn w:val="DefaultParagraphFont"/>
    <w:link w:val="Heading2"/>
    <w:uiPriority w:val="9"/>
    <w:semiHidden/>
    <w:rsid w:val="00FB102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B456E"/>
    <w:pPr>
      <w:tabs>
        <w:tab w:val="center" w:pos="4680"/>
        <w:tab w:val="right" w:pos="9360"/>
      </w:tabs>
      <w:suppressAutoHyphens/>
    </w:pPr>
    <w:rPr>
      <w:rFonts w:ascii="Times New Roman" w:hAnsi="Times New Roman" w:cs="Times New Roman"/>
      <w:sz w:val="24"/>
    </w:rPr>
  </w:style>
  <w:style w:type="character" w:customStyle="1" w:styleId="HeaderChar">
    <w:name w:val="Header Char"/>
    <w:basedOn w:val="DefaultParagraphFont"/>
    <w:link w:val="Header"/>
    <w:uiPriority w:val="99"/>
    <w:rsid w:val="001B456E"/>
    <w:rPr>
      <w:rFonts w:ascii="Times New Roman" w:hAnsi="Times New Roman" w:cs="Times New Roman"/>
      <w:sz w:val="24"/>
    </w:rPr>
  </w:style>
  <w:style w:type="paragraph" w:styleId="Footer">
    <w:name w:val="footer"/>
    <w:basedOn w:val="Normal"/>
    <w:link w:val="FooterChar"/>
    <w:uiPriority w:val="99"/>
    <w:unhideWhenUsed/>
    <w:rsid w:val="001B456E"/>
    <w:pPr>
      <w:tabs>
        <w:tab w:val="center" w:pos="4680"/>
        <w:tab w:val="right" w:pos="9360"/>
      </w:tabs>
      <w:suppressAutoHyphens/>
    </w:pPr>
    <w:rPr>
      <w:rFonts w:ascii="Times New Roman" w:hAnsi="Times New Roman" w:cs="Times New Roman"/>
      <w:sz w:val="24"/>
    </w:rPr>
  </w:style>
  <w:style w:type="character" w:customStyle="1" w:styleId="FooterChar">
    <w:name w:val="Footer Char"/>
    <w:basedOn w:val="DefaultParagraphFont"/>
    <w:link w:val="Footer"/>
    <w:uiPriority w:val="99"/>
    <w:rsid w:val="001B456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37718">
      <w:bodyDiv w:val="1"/>
      <w:marLeft w:val="0"/>
      <w:marRight w:val="0"/>
      <w:marTop w:val="0"/>
      <w:marBottom w:val="0"/>
      <w:divBdr>
        <w:top w:val="none" w:sz="0" w:space="0" w:color="auto"/>
        <w:left w:val="none" w:sz="0" w:space="0" w:color="auto"/>
        <w:bottom w:val="none" w:sz="0" w:space="0" w:color="auto"/>
        <w:right w:val="none" w:sz="0" w:space="0" w:color="auto"/>
      </w:divBdr>
      <w:divsChild>
        <w:div w:id="1500077510">
          <w:marLeft w:val="0"/>
          <w:marRight w:val="0"/>
          <w:marTop w:val="0"/>
          <w:marBottom w:val="0"/>
          <w:divBdr>
            <w:top w:val="none" w:sz="0" w:space="0" w:color="auto"/>
            <w:left w:val="none" w:sz="0" w:space="0" w:color="auto"/>
            <w:bottom w:val="none" w:sz="0" w:space="0" w:color="auto"/>
            <w:right w:val="none" w:sz="0" w:space="0" w:color="auto"/>
          </w:divBdr>
        </w:div>
      </w:divsChild>
    </w:div>
    <w:div w:id="723722915">
      <w:bodyDiv w:val="1"/>
      <w:marLeft w:val="0"/>
      <w:marRight w:val="0"/>
      <w:marTop w:val="0"/>
      <w:marBottom w:val="0"/>
      <w:divBdr>
        <w:top w:val="none" w:sz="0" w:space="0" w:color="auto"/>
        <w:left w:val="none" w:sz="0" w:space="0" w:color="auto"/>
        <w:bottom w:val="none" w:sz="0" w:space="0" w:color="auto"/>
        <w:right w:val="none" w:sz="0" w:space="0" w:color="auto"/>
      </w:divBdr>
      <w:divsChild>
        <w:div w:id="1900439438">
          <w:marLeft w:val="0"/>
          <w:marRight w:val="0"/>
          <w:marTop w:val="0"/>
          <w:marBottom w:val="0"/>
          <w:divBdr>
            <w:top w:val="none" w:sz="0" w:space="0" w:color="auto"/>
            <w:left w:val="none" w:sz="0" w:space="0" w:color="auto"/>
            <w:bottom w:val="none" w:sz="0" w:space="0" w:color="auto"/>
            <w:right w:val="none" w:sz="0" w:space="0" w:color="auto"/>
          </w:divBdr>
        </w:div>
        <w:div w:id="1263611311">
          <w:marLeft w:val="0"/>
          <w:marRight w:val="0"/>
          <w:marTop w:val="0"/>
          <w:marBottom w:val="0"/>
          <w:divBdr>
            <w:top w:val="none" w:sz="0" w:space="0" w:color="auto"/>
            <w:left w:val="none" w:sz="0" w:space="0" w:color="auto"/>
            <w:bottom w:val="none" w:sz="0" w:space="0" w:color="auto"/>
            <w:right w:val="none" w:sz="0" w:space="0" w:color="auto"/>
          </w:divBdr>
        </w:div>
      </w:divsChild>
    </w:div>
    <w:div w:id="824509569">
      <w:bodyDiv w:val="1"/>
      <w:marLeft w:val="0"/>
      <w:marRight w:val="0"/>
      <w:marTop w:val="0"/>
      <w:marBottom w:val="0"/>
      <w:divBdr>
        <w:top w:val="none" w:sz="0" w:space="0" w:color="auto"/>
        <w:left w:val="none" w:sz="0" w:space="0" w:color="auto"/>
        <w:bottom w:val="none" w:sz="0" w:space="0" w:color="auto"/>
        <w:right w:val="none" w:sz="0" w:space="0" w:color="auto"/>
      </w:divBdr>
    </w:div>
    <w:div w:id="958029562">
      <w:bodyDiv w:val="1"/>
      <w:marLeft w:val="0"/>
      <w:marRight w:val="0"/>
      <w:marTop w:val="0"/>
      <w:marBottom w:val="0"/>
      <w:divBdr>
        <w:top w:val="none" w:sz="0" w:space="0" w:color="auto"/>
        <w:left w:val="none" w:sz="0" w:space="0" w:color="auto"/>
        <w:bottom w:val="none" w:sz="0" w:space="0" w:color="auto"/>
        <w:right w:val="none" w:sz="0" w:space="0" w:color="auto"/>
      </w:divBdr>
    </w:div>
    <w:div w:id="1112629820">
      <w:bodyDiv w:val="1"/>
      <w:marLeft w:val="0"/>
      <w:marRight w:val="0"/>
      <w:marTop w:val="0"/>
      <w:marBottom w:val="0"/>
      <w:divBdr>
        <w:top w:val="none" w:sz="0" w:space="0" w:color="auto"/>
        <w:left w:val="none" w:sz="0" w:space="0" w:color="auto"/>
        <w:bottom w:val="none" w:sz="0" w:space="0" w:color="auto"/>
        <w:right w:val="none" w:sz="0" w:space="0" w:color="auto"/>
      </w:divBdr>
      <w:divsChild>
        <w:div w:id="1814105321">
          <w:marLeft w:val="0"/>
          <w:marRight w:val="0"/>
          <w:marTop w:val="0"/>
          <w:marBottom w:val="0"/>
          <w:divBdr>
            <w:top w:val="none" w:sz="0" w:space="0" w:color="auto"/>
            <w:left w:val="none" w:sz="0" w:space="0" w:color="auto"/>
            <w:bottom w:val="none" w:sz="0" w:space="0" w:color="auto"/>
            <w:right w:val="none" w:sz="0" w:space="0" w:color="auto"/>
          </w:divBdr>
        </w:div>
        <w:div w:id="1343900032">
          <w:marLeft w:val="0"/>
          <w:marRight w:val="0"/>
          <w:marTop w:val="0"/>
          <w:marBottom w:val="0"/>
          <w:divBdr>
            <w:top w:val="none" w:sz="0" w:space="0" w:color="auto"/>
            <w:left w:val="none" w:sz="0" w:space="0" w:color="auto"/>
            <w:bottom w:val="none" w:sz="0" w:space="0" w:color="auto"/>
            <w:right w:val="none" w:sz="0" w:space="0" w:color="auto"/>
          </w:divBdr>
        </w:div>
      </w:divsChild>
    </w:div>
    <w:div w:id="1453673181">
      <w:bodyDiv w:val="1"/>
      <w:marLeft w:val="0"/>
      <w:marRight w:val="0"/>
      <w:marTop w:val="0"/>
      <w:marBottom w:val="0"/>
      <w:divBdr>
        <w:top w:val="none" w:sz="0" w:space="0" w:color="auto"/>
        <w:left w:val="none" w:sz="0" w:space="0" w:color="auto"/>
        <w:bottom w:val="none" w:sz="0" w:space="0" w:color="auto"/>
        <w:right w:val="none" w:sz="0" w:space="0" w:color="auto"/>
      </w:divBdr>
      <w:divsChild>
        <w:div w:id="2110537013">
          <w:marLeft w:val="0"/>
          <w:marRight w:val="0"/>
          <w:marTop w:val="0"/>
          <w:marBottom w:val="0"/>
          <w:divBdr>
            <w:top w:val="none" w:sz="0" w:space="0" w:color="auto"/>
            <w:left w:val="none" w:sz="0" w:space="0" w:color="auto"/>
            <w:bottom w:val="none" w:sz="0" w:space="0" w:color="auto"/>
            <w:right w:val="none" w:sz="0" w:space="0" w:color="auto"/>
          </w:divBdr>
        </w:div>
        <w:div w:id="987629395">
          <w:marLeft w:val="0"/>
          <w:marRight w:val="0"/>
          <w:marTop w:val="0"/>
          <w:marBottom w:val="0"/>
          <w:divBdr>
            <w:top w:val="none" w:sz="0" w:space="0" w:color="auto"/>
            <w:left w:val="none" w:sz="0" w:space="0" w:color="auto"/>
            <w:bottom w:val="none" w:sz="0" w:space="0" w:color="auto"/>
            <w:right w:val="none" w:sz="0" w:space="0" w:color="auto"/>
          </w:divBdr>
        </w:div>
        <w:div w:id="97454299">
          <w:marLeft w:val="0"/>
          <w:marRight w:val="0"/>
          <w:marTop w:val="0"/>
          <w:marBottom w:val="0"/>
          <w:divBdr>
            <w:top w:val="none" w:sz="0" w:space="0" w:color="auto"/>
            <w:left w:val="none" w:sz="0" w:space="0" w:color="auto"/>
            <w:bottom w:val="none" w:sz="0" w:space="0" w:color="auto"/>
            <w:right w:val="none" w:sz="0" w:space="0" w:color="auto"/>
          </w:divBdr>
        </w:div>
      </w:divsChild>
    </w:div>
    <w:div w:id="1532645834">
      <w:bodyDiv w:val="1"/>
      <w:marLeft w:val="0"/>
      <w:marRight w:val="0"/>
      <w:marTop w:val="0"/>
      <w:marBottom w:val="0"/>
      <w:divBdr>
        <w:top w:val="none" w:sz="0" w:space="0" w:color="auto"/>
        <w:left w:val="none" w:sz="0" w:space="0" w:color="auto"/>
        <w:bottom w:val="none" w:sz="0" w:space="0" w:color="auto"/>
        <w:right w:val="none" w:sz="0" w:space="0" w:color="auto"/>
      </w:divBdr>
    </w:div>
    <w:div w:id="1650667188">
      <w:bodyDiv w:val="1"/>
      <w:marLeft w:val="0"/>
      <w:marRight w:val="0"/>
      <w:marTop w:val="0"/>
      <w:marBottom w:val="0"/>
      <w:divBdr>
        <w:top w:val="none" w:sz="0" w:space="0" w:color="auto"/>
        <w:left w:val="none" w:sz="0" w:space="0" w:color="auto"/>
        <w:bottom w:val="none" w:sz="0" w:space="0" w:color="auto"/>
        <w:right w:val="none" w:sz="0" w:space="0" w:color="auto"/>
      </w:divBdr>
      <w:divsChild>
        <w:div w:id="673528819">
          <w:marLeft w:val="0"/>
          <w:marRight w:val="0"/>
          <w:marTop w:val="0"/>
          <w:marBottom w:val="0"/>
          <w:divBdr>
            <w:top w:val="none" w:sz="0" w:space="0" w:color="auto"/>
            <w:left w:val="none" w:sz="0" w:space="0" w:color="auto"/>
            <w:bottom w:val="none" w:sz="0" w:space="0" w:color="auto"/>
            <w:right w:val="none" w:sz="0" w:space="0" w:color="auto"/>
          </w:divBdr>
        </w:div>
        <w:div w:id="1739010878">
          <w:marLeft w:val="0"/>
          <w:marRight w:val="0"/>
          <w:marTop w:val="0"/>
          <w:marBottom w:val="0"/>
          <w:divBdr>
            <w:top w:val="none" w:sz="0" w:space="0" w:color="auto"/>
            <w:left w:val="none" w:sz="0" w:space="0" w:color="auto"/>
            <w:bottom w:val="none" w:sz="0" w:space="0" w:color="auto"/>
            <w:right w:val="none" w:sz="0" w:space="0" w:color="auto"/>
          </w:divBdr>
        </w:div>
      </w:divsChild>
    </w:div>
    <w:div w:id="1807431991">
      <w:bodyDiv w:val="1"/>
      <w:marLeft w:val="0"/>
      <w:marRight w:val="0"/>
      <w:marTop w:val="0"/>
      <w:marBottom w:val="0"/>
      <w:divBdr>
        <w:top w:val="none" w:sz="0" w:space="0" w:color="auto"/>
        <w:left w:val="none" w:sz="0" w:space="0" w:color="auto"/>
        <w:bottom w:val="none" w:sz="0" w:space="0" w:color="auto"/>
        <w:right w:val="none" w:sz="0" w:space="0" w:color="auto"/>
      </w:divBdr>
      <w:divsChild>
        <w:div w:id="700665734">
          <w:marLeft w:val="0"/>
          <w:marRight w:val="0"/>
          <w:marTop w:val="0"/>
          <w:marBottom w:val="0"/>
          <w:divBdr>
            <w:top w:val="none" w:sz="0" w:space="0" w:color="auto"/>
            <w:left w:val="none" w:sz="0" w:space="0" w:color="auto"/>
            <w:bottom w:val="none" w:sz="0" w:space="0" w:color="auto"/>
            <w:right w:val="none" w:sz="0" w:space="0" w:color="auto"/>
          </w:divBdr>
        </w:div>
        <w:div w:id="180670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ytimes.com/2015/11/20/world/europe/paris-terror-attacks-nohemi-gonzalez-cal-state-long-beac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1137</Words>
  <Characters>6487</Characters>
  <Application>Microsoft Office Word</Application>
  <DocSecurity>0</DocSecurity>
  <Lines>54</Lines>
  <Paragraphs>15</Paragraphs>
  <ScaleCrop>false</ScaleCrop>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Silva</dc:creator>
  <cp:lastModifiedBy>Michele Silva</cp:lastModifiedBy>
  <cp:revision>2</cp:revision>
  <dcterms:created xsi:type="dcterms:W3CDTF">2023-03-16T00:06:00Z</dcterms:created>
  <dcterms:modified xsi:type="dcterms:W3CDTF">2023-03-16T00:06:00Z</dcterms:modified>
</cp:coreProperties>
</file>