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8A6F" w14:textId="363E5FE5" w:rsidR="007D678D" w:rsidRDefault="007D678D" w:rsidP="00961AE5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A38B" wp14:editId="0182146F">
                <wp:simplePos x="0" y="0"/>
                <wp:positionH relativeFrom="column">
                  <wp:posOffset>-69850</wp:posOffset>
                </wp:positionH>
                <wp:positionV relativeFrom="paragraph">
                  <wp:posOffset>-469900</wp:posOffset>
                </wp:positionV>
                <wp:extent cx="6318250" cy="552450"/>
                <wp:effectExtent l="0" t="0" r="25400" b="19050"/>
                <wp:wrapNone/>
                <wp:docPr id="2104512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5B370" w14:textId="2C52BE45" w:rsidR="007D678D" w:rsidRPr="007D678D" w:rsidRDefault="007D678D" w:rsidP="007D67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D678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ABTL CLE Program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7D678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April 14, 2026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7D678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Summary of Panelists’ Recommendations  </w:t>
                            </w:r>
                          </w:p>
                          <w:p w14:paraId="3DC96498" w14:textId="77777777" w:rsidR="007D678D" w:rsidRDefault="007D6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A3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5pt;margin-top:-37pt;width:497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" fillcolor="white [3201]" strokeweight=".5pt">
                <v:textbox>
                  <w:txbxContent>
                    <w:p w14:paraId="68B5B370" w14:textId="2C52BE45" w:rsidR="007D678D" w:rsidRPr="007D678D" w:rsidRDefault="007D678D" w:rsidP="007D678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7D678D">
                        <w:rPr>
                          <w:b/>
                          <w:bCs/>
                          <w:sz w:val="26"/>
                          <w:szCs w:val="26"/>
                        </w:rPr>
                        <w:t xml:space="preserve">ABTL CLE Program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- </w:t>
                      </w:r>
                      <w:r w:rsidRPr="007D678D">
                        <w:rPr>
                          <w:b/>
                          <w:bCs/>
                          <w:sz w:val="26"/>
                          <w:szCs w:val="26"/>
                        </w:rPr>
                        <w:t>April 14, 2026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7D678D">
                        <w:rPr>
                          <w:b/>
                          <w:bCs/>
                          <w:sz w:val="26"/>
                          <w:szCs w:val="26"/>
                        </w:rPr>
                        <w:t xml:space="preserve">Summary of Panelists’ Recommendations  </w:t>
                      </w:r>
                    </w:p>
                    <w:p w14:paraId="3DC96498" w14:textId="77777777" w:rsidR="007D678D" w:rsidRDefault="007D678D"/>
                  </w:txbxContent>
                </v:textbox>
              </v:shape>
            </w:pict>
          </mc:Fallback>
        </mc:AlternateContent>
      </w:r>
    </w:p>
    <w:p w14:paraId="5672DC0D" w14:textId="4EABB28B" w:rsidR="00EB3727" w:rsidRPr="007D678D" w:rsidRDefault="00EB3727" w:rsidP="007D678D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7D678D">
        <w:rPr>
          <w:rFonts w:eastAsia="Times New Roman"/>
          <w:color w:val="000000"/>
        </w:rPr>
        <w:t xml:space="preserve">To preserve a proper record for appeal, trial objections must be timely, clear, and </w:t>
      </w:r>
      <w:proofErr w:type="gramStart"/>
      <w:r w:rsidRPr="007D678D">
        <w:rPr>
          <w:rFonts w:eastAsia="Times New Roman"/>
          <w:color w:val="000000"/>
        </w:rPr>
        <w:t>actually put</w:t>
      </w:r>
      <w:proofErr w:type="gramEnd"/>
      <w:r w:rsidRPr="007D678D">
        <w:rPr>
          <w:rFonts w:eastAsia="Times New Roman"/>
          <w:color w:val="000000"/>
        </w:rPr>
        <w:t xml:space="preserve"> on the record.</w:t>
      </w:r>
    </w:p>
    <w:p w14:paraId="616F5617" w14:textId="77777777" w:rsidR="00EB3727" w:rsidRDefault="00EB3727" w:rsidP="00961AE5">
      <w:pPr>
        <w:numPr>
          <w:ilvl w:val="0"/>
          <w:numId w:val="3"/>
        </w:numPr>
      </w:pPr>
      <w:r w:rsidRPr="00EB3727">
        <w:t>Notwithstanding #1, don’t necessarily object just because you can.  Assess whether your objection really matters or simply makes you look prone to complaining.</w:t>
      </w:r>
    </w:p>
    <w:p w14:paraId="57C38119" w14:textId="11E03574" w:rsidR="00EB3727" w:rsidRPr="00EB3727" w:rsidRDefault="00EB3727" w:rsidP="00961AE5">
      <w:pPr>
        <w:numPr>
          <w:ilvl w:val="0"/>
          <w:numId w:val="3"/>
        </w:numPr>
      </w:pPr>
      <w:r w:rsidRPr="00EB3727">
        <w:rPr>
          <w:rFonts w:ascii="Aptos" w:eastAsia="Times New Roman" w:hAnsi="Aptos"/>
          <w:color w:val="000000"/>
        </w:rPr>
        <w:t>Objections (and the attendant messiness) at trial can sometimes be avoided with careful pretrial work, including use of the court’s time and exchange of materials before openings, closings etc. </w:t>
      </w:r>
    </w:p>
    <w:p w14:paraId="6D8302B8" w14:textId="48C9AD29" w:rsidR="005C6EFF" w:rsidRPr="005C6EFF" w:rsidRDefault="00EB3727" w:rsidP="00961AE5">
      <w:pPr>
        <w:pStyle w:val="ListParagraph"/>
        <w:numPr>
          <w:ilvl w:val="0"/>
          <w:numId w:val="3"/>
        </w:numPr>
        <w:rPr>
          <w:rFonts w:ascii="Aptos" w:eastAsia="Times New Roman" w:hAnsi="Aptos"/>
          <w:color w:val="000000"/>
        </w:rPr>
      </w:pPr>
      <w:r w:rsidRPr="00EB3727">
        <w:rPr>
          <w:rFonts w:eastAsia="Times New Roman"/>
          <w:color w:val="000000"/>
        </w:rPr>
        <w:t>Closing arguments have wide latitude but also clear boundaries - Lawyers cannot vouch personally, attack witnesses unfairly, or imply the judge supports their position; doing so risks curative instructions or misconduct findings.</w:t>
      </w:r>
      <w:r w:rsidR="005C6EFF">
        <w:rPr>
          <w:rFonts w:eastAsia="Times New Roman"/>
          <w:color w:val="000000"/>
        </w:rPr>
        <w:br/>
      </w:r>
      <w:r w:rsidR="005C6EFF" w:rsidRPr="005C6EFF">
        <w:rPr>
          <w:rFonts w:eastAsia="Times New Roman"/>
          <w:color w:val="FFFFFF" w:themeColor="background1"/>
          <w:sz w:val="8"/>
          <w:szCs w:val="8"/>
        </w:rPr>
        <w:t>.</w:t>
      </w:r>
    </w:p>
    <w:p w14:paraId="7E5014FD" w14:textId="5F1B9058" w:rsidR="005C6EFF" w:rsidRPr="005C6EFF" w:rsidRDefault="005C6EFF" w:rsidP="00961AE5">
      <w:pPr>
        <w:pStyle w:val="ListParagraph"/>
        <w:numPr>
          <w:ilvl w:val="0"/>
          <w:numId w:val="3"/>
        </w:numPr>
        <w:rPr>
          <w:rFonts w:ascii="Aptos" w:eastAsia="Times New Roman" w:hAnsi="Aptos"/>
          <w:color w:val="000000"/>
        </w:rPr>
      </w:pPr>
      <w:r>
        <w:t>On direct examination, anticipate potential objections and be prepared to respond quickly and efficiently.  For example, when presenting an expert witness, you should be able to respond immediately to a “beyond the scope” objection by citing the specific page or paragraph in the expert’s report where the opinion was disclosed.</w:t>
      </w:r>
      <w:r>
        <w:br/>
      </w:r>
      <w:r>
        <w:br/>
      </w:r>
    </w:p>
    <w:p w14:paraId="5F6F507A" w14:textId="77777777" w:rsidR="00EB3727" w:rsidRPr="00EB3727" w:rsidRDefault="00EB3727" w:rsidP="00EB3727"/>
    <w:p w14:paraId="3C60388F" w14:textId="77777777" w:rsidR="00EB3727" w:rsidRDefault="00EB3727"/>
    <w:sectPr w:rsidR="00EB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F3116"/>
    <w:multiLevelType w:val="hybridMultilevel"/>
    <w:tmpl w:val="211C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C36"/>
    <w:multiLevelType w:val="hybridMultilevel"/>
    <w:tmpl w:val="F380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08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560608">
    <w:abstractNumId w:val="0"/>
  </w:num>
  <w:num w:numId="3" w16cid:durableId="126669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27"/>
    <w:rsid w:val="0051689F"/>
    <w:rsid w:val="005C6EFF"/>
    <w:rsid w:val="007D678D"/>
    <w:rsid w:val="00961AE5"/>
    <w:rsid w:val="00C52C94"/>
    <w:rsid w:val="00CD2799"/>
    <w:rsid w:val="00D03D35"/>
    <w:rsid w:val="00E94960"/>
    <w:rsid w:val="00E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5CCB"/>
  <w15:chartTrackingRefBased/>
  <w15:docId w15:val="{29C0AF1F-2E03-4C78-BDAA-5F8E9F0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7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7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Silva</dc:creator>
  <cp:keywords/>
  <dc:description/>
  <cp:lastModifiedBy>Michele Silva</cp:lastModifiedBy>
  <cp:revision>2</cp:revision>
  <dcterms:created xsi:type="dcterms:W3CDTF">2026-04-23T21:03:00Z</dcterms:created>
  <dcterms:modified xsi:type="dcterms:W3CDTF">2026-04-23T21:03:00Z</dcterms:modified>
</cp:coreProperties>
</file>